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C2D" w:rsidP="00471319">
            <w:pPr>
              <w:rPr>
                <w:rStyle w:val="Firstpagetablebold"/>
              </w:rPr>
            </w:pPr>
            <w:r>
              <w:rPr>
                <w:rStyle w:val="Firstpagetablebold"/>
              </w:rPr>
              <w:t>Housing Panel</w:t>
            </w:r>
          </w:p>
        </w:tc>
      </w:tr>
      <w:tr w:rsidR="00CE544A" w:rsidRPr="00975B07" w:rsidTr="0006471D">
        <w:trPr>
          <w:trHeight w:val="275"/>
        </w:trPr>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44C2D" w:rsidP="005D0621">
            <w:pPr>
              <w:rPr>
                <w:b/>
              </w:rPr>
            </w:pPr>
            <w:r>
              <w:rPr>
                <w:rStyle w:val="Firstpagetablebold"/>
              </w:rPr>
              <w:t>26</w:t>
            </w:r>
            <w:r w:rsidRPr="00F44C2D">
              <w:rPr>
                <w:rStyle w:val="Firstpagetablebold"/>
                <w:vertAlign w:val="superscript"/>
              </w:rPr>
              <w:t>th</w:t>
            </w:r>
            <w:r>
              <w:rPr>
                <w:rStyle w:val="Firstpagetablebold"/>
              </w:rPr>
              <w:t xml:space="preserve"> April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6471D" w:rsidP="004A6D2F">
            <w:pPr>
              <w:rPr>
                <w:rStyle w:val="Firstpagetablebold"/>
              </w:rPr>
            </w:pPr>
            <w:r>
              <w:rPr>
                <w:rStyle w:val="Firstpagetablebold"/>
              </w:rPr>
              <w:t>Property Services Manager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6471D" w:rsidP="008A43AA">
            <w:pPr>
              <w:rPr>
                <w:rStyle w:val="Firstpagetablebold"/>
              </w:rPr>
            </w:pPr>
            <w:r>
              <w:rPr>
                <w:rStyle w:val="Firstpagetablebold"/>
              </w:rPr>
              <w:t>Great Estates Programme</w:t>
            </w:r>
          </w:p>
        </w:tc>
      </w:tr>
    </w:tbl>
    <w:p w:rsidR="004F20EF" w:rsidRPr="00EF6150" w:rsidRDefault="004F20EF" w:rsidP="004A6D2F">
      <w:pPr>
        <w:rPr>
          <w:sz w:val="12"/>
        </w:rPr>
      </w:pPr>
    </w:p>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F44C2D" w:rsidP="0006471D">
            <w:r>
              <w:t xml:space="preserve">To update the Housing Panel on </w:t>
            </w:r>
            <w:r w:rsidR="0006471D">
              <w:t>works completed under the great estates programme and proposals for future works and funding</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670845" w:rsidP="000F4751">
            <w:r>
              <w:t>Meeting Housing Needs</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670845" w:rsidP="00D57F03">
            <w:r>
              <w:t>Housing Strategy</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06471D">
            <w:r>
              <w:rPr>
                <w:rStyle w:val="Firstpagetablebold"/>
              </w:rPr>
              <w:t>Recommendation(s):</w:t>
            </w:r>
            <w:r w:rsidRPr="008A43AA">
              <w:rPr>
                <w:rStyle w:val="Firstpagetablebold"/>
                <w:b w:val="0"/>
              </w:rPr>
              <w:t>:</w:t>
            </w:r>
          </w:p>
        </w:tc>
      </w:tr>
      <w:tr w:rsidR="0030208D" w:rsidRPr="00975B07" w:rsidTr="0006471D">
        <w:trPr>
          <w:trHeight w:val="64"/>
        </w:trPr>
        <w:tc>
          <w:tcPr>
            <w:tcW w:w="426" w:type="dxa"/>
            <w:tcBorders>
              <w:top w:val="single" w:sz="4" w:space="0" w:color="auto"/>
              <w:left w:val="single" w:sz="4" w:space="0" w:color="auto"/>
              <w:bottom w:val="single" w:sz="4" w:space="0" w:color="auto"/>
              <w:right w:val="nil"/>
            </w:tcBorders>
          </w:tcPr>
          <w:p w:rsidR="0006471D" w:rsidRDefault="0006471D" w:rsidP="004A6D2F"/>
          <w:p w:rsidR="0030208D" w:rsidRPr="00975B07" w:rsidRDefault="00046D2B" w:rsidP="004A6D2F">
            <w:r w:rsidRPr="00975B07">
              <w:t>1.</w:t>
            </w:r>
          </w:p>
        </w:tc>
        <w:tc>
          <w:tcPr>
            <w:tcW w:w="8930" w:type="dxa"/>
            <w:gridSpan w:val="2"/>
            <w:tcBorders>
              <w:top w:val="single" w:sz="4" w:space="0" w:color="auto"/>
              <w:left w:val="nil"/>
              <w:bottom w:val="single" w:sz="4" w:space="0" w:color="auto"/>
              <w:right w:val="single" w:sz="4" w:space="0" w:color="auto"/>
            </w:tcBorders>
            <w:shd w:val="clear" w:color="auto" w:fill="auto"/>
          </w:tcPr>
          <w:p w:rsidR="0006471D" w:rsidRDefault="0006471D" w:rsidP="0006471D">
            <w:pPr>
              <w:rPr>
                <w:rStyle w:val="Firstpagetablebold"/>
              </w:rPr>
            </w:pPr>
          </w:p>
          <w:p w:rsidR="0006471D" w:rsidRPr="0006471D" w:rsidRDefault="0006471D" w:rsidP="0006471D">
            <w:pPr>
              <w:rPr>
                <w:rStyle w:val="Firstpagetablebold"/>
                <w:b w:val="0"/>
              </w:rPr>
            </w:pPr>
            <w:r w:rsidRPr="0006471D">
              <w:rPr>
                <w:rStyle w:val="Firstpagetablebold"/>
                <w:b w:val="0"/>
              </w:rPr>
              <w:t>The Panel are asked to note the contents of this report</w:t>
            </w:r>
          </w:p>
          <w:p w:rsidR="0030208D" w:rsidRPr="001356F1" w:rsidRDefault="0030208D" w:rsidP="0006471D"/>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c>
          <w:tcPr>
            <w:tcW w:w="2438" w:type="dxa"/>
            <w:tcBorders>
              <w:top w:val="single" w:sz="8" w:space="0" w:color="000000"/>
              <w:left w:val="single" w:sz="8" w:space="0" w:color="000000"/>
              <w:bottom w:val="nil"/>
              <w:right w:val="nil"/>
            </w:tcBorders>
            <w:shd w:val="clear" w:color="auto" w:fill="auto"/>
          </w:tcPr>
          <w:p w:rsidR="00416EF0" w:rsidRDefault="00416EF0" w:rsidP="004A6D2F"/>
          <w:p w:rsidR="00ED5860" w:rsidRPr="00975B07" w:rsidRDefault="00ED5860" w:rsidP="004A6D2F">
            <w:r w:rsidRPr="00975B07">
              <w:t>Appendix 1</w:t>
            </w:r>
          </w:p>
        </w:tc>
        <w:tc>
          <w:tcPr>
            <w:tcW w:w="6918" w:type="dxa"/>
            <w:tcBorders>
              <w:top w:val="single" w:sz="8" w:space="0" w:color="000000"/>
              <w:left w:val="nil"/>
              <w:bottom w:val="nil"/>
              <w:right w:val="single" w:sz="8" w:space="0" w:color="000000"/>
            </w:tcBorders>
          </w:tcPr>
          <w:p w:rsidR="00670845" w:rsidRDefault="00670845" w:rsidP="002363F0"/>
          <w:p w:rsidR="00ED5860" w:rsidRPr="001356F1" w:rsidRDefault="002363F0" w:rsidP="002363F0">
            <w:r>
              <w:t xml:space="preserve">Examples of work completed during 16/17 </w:t>
            </w:r>
          </w:p>
        </w:tc>
      </w:tr>
      <w:tr w:rsidR="00DF3DC5" w:rsidRPr="00975B07" w:rsidTr="00EF6150">
        <w:trPr>
          <w:trHeight w:val="84"/>
        </w:trPr>
        <w:tc>
          <w:tcPr>
            <w:tcW w:w="2438" w:type="dxa"/>
            <w:tcBorders>
              <w:top w:val="nil"/>
              <w:left w:val="single" w:sz="8" w:space="0" w:color="000000"/>
              <w:bottom w:val="single" w:sz="8" w:space="0" w:color="000000"/>
              <w:right w:val="nil"/>
            </w:tcBorders>
            <w:shd w:val="clear" w:color="auto" w:fill="auto"/>
          </w:tcPr>
          <w:p w:rsidR="00DF3DC5" w:rsidRPr="00975B07" w:rsidRDefault="00DF3DC5" w:rsidP="004A6D2F"/>
        </w:tc>
        <w:tc>
          <w:tcPr>
            <w:tcW w:w="6918" w:type="dxa"/>
            <w:tcBorders>
              <w:top w:val="nil"/>
              <w:left w:val="nil"/>
              <w:bottom w:val="single" w:sz="8" w:space="0" w:color="000000"/>
              <w:right w:val="single" w:sz="8" w:space="0" w:color="000000"/>
            </w:tcBorders>
          </w:tcPr>
          <w:p w:rsidR="00DF3DC5" w:rsidRPr="00EF6150" w:rsidRDefault="00DF3DC5" w:rsidP="004A6D2F"/>
        </w:tc>
      </w:tr>
    </w:tbl>
    <w:p w:rsidR="00C44BAE" w:rsidRPr="00EF6150" w:rsidRDefault="00C44BAE" w:rsidP="00EF6150">
      <w:pPr>
        <w:pStyle w:val="Heading1"/>
        <w:spacing w:before="0" w:after="0"/>
        <w:rPr>
          <w:sz w:val="32"/>
        </w:rPr>
      </w:pPr>
    </w:p>
    <w:p w:rsidR="0040736F" w:rsidRPr="001356F1" w:rsidRDefault="00F66DCA" w:rsidP="00EF6150">
      <w:pPr>
        <w:pStyle w:val="Heading1"/>
        <w:spacing w:before="0"/>
      </w:pPr>
      <w:r w:rsidRPr="001356F1">
        <w:t>Introduction and b</w:t>
      </w:r>
      <w:r w:rsidR="00151888" w:rsidRPr="001356F1">
        <w:t>ackground</w:t>
      </w:r>
      <w:r w:rsidR="00404032" w:rsidRPr="001356F1">
        <w:t xml:space="preserve"> </w:t>
      </w:r>
    </w:p>
    <w:p w:rsidR="00E87F7A" w:rsidRDefault="0006471D" w:rsidP="00DF3DC5">
      <w:pPr>
        <w:pStyle w:val="ListParagraph"/>
        <w:numPr>
          <w:ilvl w:val="0"/>
          <w:numId w:val="37"/>
        </w:numPr>
      </w:pPr>
      <w:r>
        <w:t>The Council approved funding for a programme of work designed to improve the external environment of its housing estates.  A team h</w:t>
      </w:r>
      <w:r w:rsidR="006F6C06">
        <w:t>a</w:t>
      </w:r>
      <w:r>
        <w:t>s been put together to co-ordi</w:t>
      </w:r>
      <w:r w:rsidR="006F6C06">
        <w:t>nate and programme this work</w:t>
      </w:r>
      <w:r>
        <w:t xml:space="preserve"> </w:t>
      </w:r>
      <w:r w:rsidR="006F6C06">
        <w:t>and has worked very closely with Direct Services who have delivered most of the work on site.  Works have included off street parking provision, increased block security, environmental improvements, and redesign of refuse areas</w:t>
      </w:r>
      <w:r w:rsidR="006A1208">
        <w:t>, installing internal floor coverings to common areas</w:t>
      </w:r>
      <w:r w:rsidR="00644CCC">
        <w:t>.</w:t>
      </w:r>
    </w:p>
    <w:p w:rsidR="006F6C06" w:rsidRDefault="006F6C06" w:rsidP="00416EF0">
      <w:pPr>
        <w:pStyle w:val="ListParagraph"/>
        <w:numPr>
          <w:ilvl w:val="0"/>
          <w:numId w:val="37"/>
        </w:numPr>
        <w:spacing w:after="0"/>
        <w:ind w:left="357" w:hanging="357"/>
      </w:pPr>
      <w:r>
        <w:t>This report outlines work completed to date and proposals for future works</w:t>
      </w:r>
    </w:p>
    <w:p w:rsidR="00633578" w:rsidRPr="0068146F" w:rsidRDefault="006F6C06" w:rsidP="00416EF0">
      <w:pPr>
        <w:pStyle w:val="Heading1"/>
        <w:spacing w:after="0"/>
      </w:pPr>
      <w:r w:rsidRPr="0068146F">
        <w:t>Funding</w:t>
      </w:r>
    </w:p>
    <w:p w:rsidR="00D57A71" w:rsidRPr="0068146F" w:rsidRDefault="00D57A71" w:rsidP="00416EF0">
      <w:pPr>
        <w:spacing w:after="0"/>
      </w:pPr>
    </w:p>
    <w:p w:rsidR="00D57A71" w:rsidRPr="0068146F" w:rsidRDefault="00D57A71" w:rsidP="00416EF0">
      <w:pPr>
        <w:pStyle w:val="ListParagraph"/>
        <w:numPr>
          <w:ilvl w:val="0"/>
          <w:numId w:val="37"/>
        </w:numPr>
      </w:pPr>
      <w:r w:rsidRPr="0068146F">
        <w:t xml:space="preserve">Below is the budget approved </w:t>
      </w:r>
      <w:r w:rsidR="008D1295">
        <w:t xml:space="preserve">by </w:t>
      </w:r>
      <w:r w:rsidR="00CE4B52">
        <w:t xml:space="preserve">Council </w:t>
      </w:r>
      <w:r w:rsidRPr="0068146F">
        <w:t>in Feb 2017</w:t>
      </w:r>
      <w:r w:rsidR="00CE4B52">
        <w:t xml:space="preserve"> along with budget and spend for 16/17</w:t>
      </w:r>
    </w:p>
    <w:p w:rsidR="00D57A71" w:rsidRPr="00D57A71" w:rsidRDefault="00D57A71" w:rsidP="00D57A71">
      <w:pPr>
        <w:spacing w:after="0"/>
        <w:rPr>
          <w:rFonts w:eastAsia="Calibri" w:cs="Arial"/>
          <w:color w:val="auto"/>
          <w:lang w:eastAsia="en-US"/>
        </w:rPr>
      </w:pPr>
    </w:p>
    <w:tbl>
      <w:tblPr>
        <w:tblStyle w:val="TableGrid3"/>
        <w:tblW w:w="0" w:type="auto"/>
        <w:tblLook w:val="04A0" w:firstRow="1" w:lastRow="0" w:firstColumn="1" w:lastColumn="0" w:noHBand="0" w:noVBand="1"/>
      </w:tblPr>
      <w:tblGrid>
        <w:gridCol w:w="1540"/>
        <w:gridCol w:w="1540"/>
        <w:gridCol w:w="1540"/>
        <w:gridCol w:w="1540"/>
        <w:gridCol w:w="1541"/>
        <w:gridCol w:w="1541"/>
      </w:tblGrid>
      <w:tr w:rsidR="00D57A71" w:rsidRPr="00D57A71" w:rsidTr="00562E8D">
        <w:tc>
          <w:tcPr>
            <w:tcW w:w="1540" w:type="dxa"/>
          </w:tcPr>
          <w:p w:rsidR="00D57A71" w:rsidRPr="00D57A71" w:rsidRDefault="00D57A71" w:rsidP="00D57A71">
            <w:pPr>
              <w:spacing w:after="0"/>
              <w:rPr>
                <w:color w:val="auto"/>
              </w:rPr>
            </w:pPr>
          </w:p>
        </w:tc>
        <w:tc>
          <w:tcPr>
            <w:tcW w:w="1540" w:type="dxa"/>
          </w:tcPr>
          <w:p w:rsidR="00D57A71" w:rsidRPr="00D57A71" w:rsidRDefault="00D57A71" w:rsidP="00D57A71">
            <w:pPr>
              <w:spacing w:after="0"/>
              <w:rPr>
                <w:b/>
                <w:color w:val="auto"/>
              </w:rPr>
            </w:pPr>
            <w:r w:rsidRPr="00D57A71">
              <w:rPr>
                <w:b/>
                <w:color w:val="auto"/>
              </w:rPr>
              <w:t>16/17</w:t>
            </w:r>
          </w:p>
        </w:tc>
        <w:tc>
          <w:tcPr>
            <w:tcW w:w="1540" w:type="dxa"/>
          </w:tcPr>
          <w:p w:rsidR="00D57A71" w:rsidRPr="00D57A71" w:rsidRDefault="00D57A71" w:rsidP="00D57A71">
            <w:pPr>
              <w:spacing w:after="0"/>
              <w:rPr>
                <w:b/>
                <w:color w:val="auto"/>
              </w:rPr>
            </w:pPr>
            <w:r w:rsidRPr="00D57A71">
              <w:rPr>
                <w:b/>
                <w:color w:val="auto"/>
              </w:rPr>
              <w:t>17/18</w:t>
            </w:r>
          </w:p>
        </w:tc>
        <w:tc>
          <w:tcPr>
            <w:tcW w:w="1540" w:type="dxa"/>
          </w:tcPr>
          <w:p w:rsidR="00D57A71" w:rsidRPr="00D57A71" w:rsidRDefault="00D57A71" w:rsidP="00D57A71">
            <w:pPr>
              <w:spacing w:after="0"/>
              <w:rPr>
                <w:b/>
                <w:color w:val="auto"/>
              </w:rPr>
            </w:pPr>
            <w:r w:rsidRPr="00D57A71">
              <w:rPr>
                <w:b/>
                <w:color w:val="auto"/>
              </w:rPr>
              <w:t>18/19</w:t>
            </w:r>
          </w:p>
        </w:tc>
        <w:tc>
          <w:tcPr>
            <w:tcW w:w="1541" w:type="dxa"/>
          </w:tcPr>
          <w:p w:rsidR="00D57A71" w:rsidRPr="00D57A71" w:rsidRDefault="00D57A71" w:rsidP="00D57A71">
            <w:pPr>
              <w:spacing w:after="0"/>
              <w:rPr>
                <w:b/>
                <w:color w:val="auto"/>
              </w:rPr>
            </w:pPr>
            <w:r w:rsidRPr="00D57A71">
              <w:rPr>
                <w:b/>
                <w:color w:val="auto"/>
              </w:rPr>
              <w:t>19/20</w:t>
            </w:r>
          </w:p>
        </w:tc>
        <w:tc>
          <w:tcPr>
            <w:tcW w:w="1541" w:type="dxa"/>
          </w:tcPr>
          <w:p w:rsidR="00D57A71" w:rsidRPr="00D57A71" w:rsidRDefault="00D57A71" w:rsidP="00D57A71">
            <w:pPr>
              <w:spacing w:after="0"/>
              <w:rPr>
                <w:b/>
                <w:color w:val="auto"/>
              </w:rPr>
            </w:pPr>
            <w:r w:rsidRPr="00D57A71">
              <w:rPr>
                <w:b/>
                <w:color w:val="auto"/>
              </w:rPr>
              <w:t>20/21</w:t>
            </w:r>
          </w:p>
        </w:tc>
      </w:tr>
      <w:tr w:rsidR="00D57A71" w:rsidRPr="00D57A71" w:rsidTr="00562E8D">
        <w:tc>
          <w:tcPr>
            <w:tcW w:w="1540" w:type="dxa"/>
          </w:tcPr>
          <w:p w:rsidR="00D57A71" w:rsidRPr="00D57A71" w:rsidRDefault="00D57A71" w:rsidP="00D57A71">
            <w:pPr>
              <w:spacing w:after="0"/>
              <w:rPr>
                <w:color w:val="auto"/>
              </w:rPr>
            </w:pPr>
            <w:r w:rsidRPr="00D57A71">
              <w:rPr>
                <w:color w:val="auto"/>
              </w:rPr>
              <w:t>Approved budget</w:t>
            </w:r>
          </w:p>
        </w:tc>
        <w:tc>
          <w:tcPr>
            <w:tcW w:w="1540" w:type="dxa"/>
          </w:tcPr>
          <w:p w:rsidR="00D57A71" w:rsidRPr="00D57A71" w:rsidRDefault="00D57A71" w:rsidP="00D57A71">
            <w:pPr>
              <w:spacing w:after="0"/>
              <w:rPr>
                <w:color w:val="auto"/>
              </w:rPr>
            </w:pPr>
            <w:r w:rsidRPr="00D57A71">
              <w:rPr>
                <w:color w:val="auto"/>
              </w:rPr>
              <w:t>1,650,621</w:t>
            </w:r>
          </w:p>
        </w:tc>
        <w:tc>
          <w:tcPr>
            <w:tcW w:w="1540" w:type="dxa"/>
          </w:tcPr>
          <w:p w:rsidR="00D57A71" w:rsidRPr="00D57A71" w:rsidRDefault="00D57A71" w:rsidP="00D57A71">
            <w:pPr>
              <w:spacing w:after="0"/>
              <w:rPr>
                <w:color w:val="auto"/>
              </w:rPr>
            </w:pPr>
            <w:r w:rsidRPr="00D57A71">
              <w:rPr>
                <w:color w:val="auto"/>
              </w:rPr>
              <w:t>1,200,000</w:t>
            </w:r>
          </w:p>
        </w:tc>
        <w:tc>
          <w:tcPr>
            <w:tcW w:w="1540" w:type="dxa"/>
          </w:tcPr>
          <w:p w:rsidR="00D57A71" w:rsidRPr="00D57A71" w:rsidRDefault="00D57A71" w:rsidP="00D57A71">
            <w:pPr>
              <w:spacing w:after="0"/>
              <w:rPr>
                <w:color w:val="auto"/>
              </w:rPr>
            </w:pPr>
            <w:r w:rsidRPr="00D57A71">
              <w:rPr>
                <w:color w:val="auto"/>
              </w:rPr>
              <w:t>1,200,000</w:t>
            </w:r>
          </w:p>
        </w:tc>
        <w:tc>
          <w:tcPr>
            <w:tcW w:w="1541" w:type="dxa"/>
          </w:tcPr>
          <w:p w:rsidR="00D57A71" w:rsidRPr="00D57A71" w:rsidRDefault="00D57A71" w:rsidP="00D57A71">
            <w:pPr>
              <w:spacing w:after="0"/>
              <w:rPr>
                <w:color w:val="auto"/>
              </w:rPr>
            </w:pPr>
            <w:r w:rsidRPr="00D57A71">
              <w:rPr>
                <w:color w:val="auto"/>
              </w:rPr>
              <w:t>1,200,000</w:t>
            </w:r>
          </w:p>
        </w:tc>
        <w:tc>
          <w:tcPr>
            <w:tcW w:w="1541" w:type="dxa"/>
          </w:tcPr>
          <w:p w:rsidR="00D57A71" w:rsidRPr="00D57A71" w:rsidRDefault="00D57A71" w:rsidP="00D57A71">
            <w:pPr>
              <w:spacing w:after="0"/>
              <w:rPr>
                <w:color w:val="auto"/>
              </w:rPr>
            </w:pPr>
            <w:r w:rsidRPr="00D57A71">
              <w:rPr>
                <w:color w:val="auto"/>
              </w:rPr>
              <w:t>600,000</w:t>
            </w:r>
          </w:p>
        </w:tc>
      </w:tr>
      <w:tr w:rsidR="00D57A71" w:rsidRPr="00D57A71" w:rsidTr="00562E8D">
        <w:tc>
          <w:tcPr>
            <w:tcW w:w="1540" w:type="dxa"/>
          </w:tcPr>
          <w:p w:rsidR="00D57A71" w:rsidRPr="00D57A71" w:rsidRDefault="00D57A71" w:rsidP="00D57A71">
            <w:pPr>
              <w:spacing w:after="0"/>
              <w:rPr>
                <w:color w:val="auto"/>
              </w:rPr>
            </w:pPr>
            <w:r w:rsidRPr="00D57A71">
              <w:rPr>
                <w:color w:val="auto"/>
              </w:rPr>
              <w:t>Actual spend</w:t>
            </w:r>
          </w:p>
        </w:tc>
        <w:tc>
          <w:tcPr>
            <w:tcW w:w="1540" w:type="dxa"/>
          </w:tcPr>
          <w:p w:rsidR="00D57A71" w:rsidRPr="00D57A71" w:rsidRDefault="00D57A71" w:rsidP="00D57A71">
            <w:pPr>
              <w:spacing w:after="0"/>
              <w:rPr>
                <w:color w:val="auto"/>
              </w:rPr>
            </w:pPr>
            <w:r w:rsidRPr="00D57A71">
              <w:rPr>
                <w:color w:val="auto"/>
              </w:rPr>
              <w:t>1,250,621</w:t>
            </w:r>
          </w:p>
        </w:tc>
        <w:tc>
          <w:tcPr>
            <w:tcW w:w="1540" w:type="dxa"/>
          </w:tcPr>
          <w:p w:rsidR="00D57A71" w:rsidRPr="00D57A71" w:rsidRDefault="00D57A71" w:rsidP="00D57A71">
            <w:pPr>
              <w:spacing w:after="0"/>
              <w:rPr>
                <w:color w:val="auto"/>
              </w:rPr>
            </w:pPr>
          </w:p>
        </w:tc>
        <w:tc>
          <w:tcPr>
            <w:tcW w:w="1540" w:type="dxa"/>
          </w:tcPr>
          <w:p w:rsidR="00D57A71" w:rsidRPr="00D57A71" w:rsidRDefault="00D57A71" w:rsidP="00D57A71">
            <w:pPr>
              <w:spacing w:after="0"/>
              <w:rPr>
                <w:color w:val="auto"/>
              </w:rPr>
            </w:pPr>
          </w:p>
        </w:tc>
        <w:tc>
          <w:tcPr>
            <w:tcW w:w="1541" w:type="dxa"/>
          </w:tcPr>
          <w:p w:rsidR="00D57A71" w:rsidRPr="00D57A71" w:rsidRDefault="00D57A71" w:rsidP="00D57A71">
            <w:pPr>
              <w:spacing w:after="0"/>
              <w:rPr>
                <w:color w:val="auto"/>
              </w:rPr>
            </w:pPr>
          </w:p>
        </w:tc>
        <w:tc>
          <w:tcPr>
            <w:tcW w:w="1541" w:type="dxa"/>
          </w:tcPr>
          <w:p w:rsidR="00D57A71" w:rsidRPr="00D57A71" w:rsidRDefault="00D57A71" w:rsidP="00D57A71">
            <w:pPr>
              <w:spacing w:after="0"/>
              <w:rPr>
                <w:color w:val="auto"/>
              </w:rPr>
            </w:pPr>
          </w:p>
        </w:tc>
      </w:tr>
      <w:tr w:rsidR="00D57A71" w:rsidRPr="00D57A71" w:rsidTr="00562E8D">
        <w:tc>
          <w:tcPr>
            <w:tcW w:w="1540" w:type="dxa"/>
          </w:tcPr>
          <w:p w:rsidR="00D57A71" w:rsidRPr="00D57A71" w:rsidRDefault="00D57A71" w:rsidP="00D57A71">
            <w:pPr>
              <w:spacing w:after="0"/>
              <w:rPr>
                <w:color w:val="auto"/>
              </w:rPr>
            </w:pPr>
            <w:r w:rsidRPr="00D57A71">
              <w:rPr>
                <w:color w:val="auto"/>
              </w:rPr>
              <w:t>Carry forward on identified schemes</w:t>
            </w:r>
          </w:p>
        </w:tc>
        <w:tc>
          <w:tcPr>
            <w:tcW w:w="1540" w:type="dxa"/>
          </w:tcPr>
          <w:p w:rsidR="00D57A71" w:rsidRPr="00D57A71" w:rsidRDefault="00D57A71" w:rsidP="00D57A71">
            <w:pPr>
              <w:spacing w:after="0"/>
              <w:rPr>
                <w:color w:val="auto"/>
              </w:rPr>
            </w:pPr>
          </w:p>
        </w:tc>
        <w:tc>
          <w:tcPr>
            <w:tcW w:w="1540" w:type="dxa"/>
          </w:tcPr>
          <w:p w:rsidR="00D57A71" w:rsidRPr="00D57A71" w:rsidRDefault="00D57A71" w:rsidP="00D57A71">
            <w:pPr>
              <w:spacing w:after="0"/>
              <w:rPr>
                <w:color w:val="auto"/>
              </w:rPr>
            </w:pPr>
            <w:r w:rsidRPr="00D57A71">
              <w:rPr>
                <w:color w:val="auto"/>
              </w:rPr>
              <w:t>400,000</w:t>
            </w:r>
          </w:p>
        </w:tc>
        <w:tc>
          <w:tcPr>
            <w:tcW w:w="1540" w:type="dxa"/>
          </w:tcPr>
          <w:p w:rsidR="00D57A71" w:rsidRPr="00D57A71" w:rsidRDefault="00D57A71" w:rsidP="00D57A71">
            <w:pPr>
              <w:spacing w:after="0"/>
              <w:rPr>
                <w:color w:val="auto"/>
              </w:rPr>
            </w:pPr>
          </w:p>
        </w:tc>
        <w:tc>
          <w:tcPr>
            <w:tcW w:w="1541" w:type="dxa"/>
          </w:tcPr>
          <w:p w:rsidR="00D57A71" w:rsidRPr="00D57A71" w:rsidRDefault="00D57A71" w:rsidP="00D57A71">
            <w:pPr>
              <w:spacing w:after="0"/>
              <w:rPr>
                <w:color w:val="auto"/>
              </w:rPr>
            </w:pPr>
          </w:p>
        </w:tc>
        <w:tc>
          <w:tcPr>
            <w:tcW w:w="1541" w:type="dxa"/>
          </w:tcPr>
          <w:p w:rsidR="00D57A71" w:rsidRPr="00D57A71" w:rsidRDefault="00D57A71" w:rsidP="00D57A71">
            <w:pPr>
              <w:spacing w:after="0"/>
              <w:rPr>
                <w:color w:val="auto"/>
              </w:rPr>
            </w:pPr>
          </w:p>
        </w:tc>
      </w:tr>
      <w:tr w:rsidR="00D57A71" w:rsidRPr="00D57A71" w:rsidTr="00562E8D">
        <w:tc>
          <w:tcPr>
            <w:tcW w:w="1540" w:type="dxa"/>
          </w:tcPr>
          <w:p w:rsidR="00D57A71" w:rsidRPr="00D57A71" w:rsidRDefault="00D57A71" w:rsidP="00D57A71">
            <w:pPr>
              <w:spacing w:after="0"/>
              <w:rPr>
                <w:b/>
                <w:color w:val="auto"/>
              </w:rPr>
            </w:pPr>
            <w:r w:rsidRPr="00D57A71">
              <w:rPr>
                <w:b/>
                <w:color w:val="auto"/>
              </w:rPr>
              <w:t>TOTAL</w:t>
            </w:r>
          </w:p>
        </w:tc>
        <w:tc>
          <w:tcPr>
            <w:tcW w:w="1540" w:type="dxa"/>
          </w:tcPr>
          <w:p w:rsidR="00D57A71" w:rsidRPr="00D57A71" w:rsidRDefault="00D57A71" w:rsidP="00D57A71">
            <w:pPr>
              <w:spacing w:after="0"/>
              <w:rPr>
                <w:b/>
                <w:color w:val="auto"/>
              </w:rPr>
            </w:pPr>
            <w:r w:rsidRPr="00D57A71">
              <w:rPr>
                <w:b/>
                <w:color w:val="auto"/>
              </w:rPr>
              <w:t>-400,000</w:t>
            </w:r>
          </w:p>
        </w:tc>
        <w:tc>
          <w:tcPr>
            <w:tcW w:w="1540" w:type="dxa"/>
          </w:tcPr>
          <w:p w:rsidR="00D57A71" w:rsidRPr="00D57A71" w:rsidRDefault="00D57A71" w:rsidP="00D57A71">
            <w:pPr>
              <w:spacing w:after="0"/>
              <w:rPr>
                <w:b/>
                <w:color w:val="auto"/>
              </w:rPr>
            </w:pPr>
            <w:r w:rsidRPr="00D57A71">
              <w:rPr>
                <w:b/>
                <w:color w:val="auto"/>
              </w:rPr>
              <w:t>1,600,000</w:t>
            </w:r>
          </w:p>
        </w:tc>
        <w:tc>
          <w:tcPr>
            <w:tcW w:w="1540" w:type="dxa"/>
          </w:tcPr>
          <w:p w:rsidR="00D57A71" w:rsidRPr="00D57A71" w:rsidRDefault="00D57A71" w:rsidP="00D57A71">
            <w:pPr>
              <w:spacing w:after="0"/>
              <w:rPr>
                <w:b/>
                <w:color w:val="auto"/>
              </w:rPr>
            </w:pPr>
            <w:r w:rsidRPr="00D57A71">
              <w:rPr>
                <w:b/>
                <w:color w:val="auto"/>
              </w:rPr>
              <w:t>1,200,000</w:t>
            </w:r>
          </w:p>
        </w:tc>
        <w:tc>
          <w:tcPr>
            <w:tcW w:w="1541" w:type="dxa"/>
          </w:tcPr>
          <w:p w:rsidR="00D57A71" w:rsidRPr="00D57A71" w:rsidRDefault="00D57A71" w:rsidP="00D57A71">
            <w:pPr>
              <w:spacing w:after="0"/>
              <w:rPr>
                <w:b/>
                <w:color w:val="auto"/>
              </w:rPr>
            </w:pPr>
            <w:r w:rsidRPr="00D57A71">
              <w:rPr>
                <w:b/>
                <w:color w:val="auto"/>
              </w:rPr>
              <w:t>1,200,000</w:t>
            </w:r>
          </w:p>
        </w:tc>
        <w:tc>
          <w:tcPr>
            <w:tcW w:w="1541" w:type="dxa"/>
          </w:tcPr>
          <w:p w:rsidR="00D57A71" w:rsidRPr="00D57A71" w:rsidRDefault="00D57A71" w:rsidP="00D57A71">
            <w:pPr>
              <w:spacing w:after="0"/>
              <w:rPr>
                <w:b/>
                <w:color w:val="auto"/>
              </w:rPr>
            </w:pPr>
            <w:r w:rsidRPr="00D57A71">
              <w:rPr>
                <w:b/>
                <w:color w:val="auto"/>
              </w:rPr>
              <w:t>600,000</w:t>
            </w:r>
          </w:p>
        </w:tc>
      </w:tr>
    </w:tbl>
    <w:p w:rsidR="00D57A71" w:rsidRPr="00D57A71" w:rsidRDefault="00D57A71" w:rsidP="00D57A71">
      <w:pPr>
        <w:spacing w:after="0"/>
        <w:rPr>
          <w:rFonts w:eastAsia="Calibri" w:cs="Arial"/>
          <w:color w:val="auto"/>
          <w:lang w:eastAsia="en-US"/>
        </w:rPr>
      </w:pPr>
    </w:p>
    <w:p w:rsidR="00D57A71" w:rsidRPr="00DF3DC5" w:rsidRDefault="0068146F" w:rsidP="00DF3DC5">
      <w:pPr>
        <w:pStyle w:val="ListParagraph"/>
        <w:numPr>
          <w:ilvl w:val="0"/>
          <w:numId w:val="37"/>
        </w:numPr>
        <w:spacing w:after="0"/>
        <w:rPr>
          <w:rFonts w:eastAsia="Calibri" w:cs="Arial"/>
          <w:color w:val="auto"/>
          <w:lang w:eastAsia="en-US"/>
        </w:rPr>
      </w:pPr>
      <w:r w:rsidRPr="00DF3DC5">
        <w:rPr>
          <w:rFonts w:eastAsia="Calibri" w:cs="Arial"/>
          <w:color w:val="auto"/>
          <w:lang w:eastAsia="en-US"/>
        </w:rPr>
        <w:t xml:space="preserve">It will be noted that there is a carry forward of £400,000 from 16/17 into 17/18.  This is for schemes </w:t>
      </w:r>
      <w:r w:rsidR="002363F0" w:rsidRPr="00DF3DC5">
        <w:rPr>
          <w:rFonts w:eastAsia="Calibri" w:cs="Arial"/>
          <w:color w:val="auto"/>
          <w:lang w:eastAsia="en-US"/>
        </w:rPr>
        <w:t xml:space="preserve">which </w:t>
      </w:r>
      <w:r w:rsidRPr="00DF3DC5">
        <w:rPr>
          <w:rFonts w:eastAsia="Calibri" w:cs="Arial"/>
          <w:color w:val="auto"/>
          <w:lang w:eastAsia="en-US"/>
        </w:rPr>
        <w:t xml:space="preserve">were not completed during 16/17 due to the need to carry out consultation and obtain the necessary approvals which has </w:t>
      </w:r>
      <w:r w:rsidR="00CE4B52" w:rsidRPr="00DF3DC5">
        <w:rPr>
          <w:rFonts w:eastAsia="Calibri" w:cs="Arial"/>
          <w:color w:val="auto"/>
          <w:lang w:eastAsia="en-US"/>
        </w:rPr>
        <w:t>extended</w:t>
      </w:r>
      <w:r w:rsidRPr="00DF3DC5">
        <w:rPr>
          <w:rFonts w:eastAsia="Calibri" w:cs="Arial"/>
          <w:color w:val="auto"/>
          <w:lang w:eastAsia="en-US"/>
        </w:rPr>
        <w:t xml:space="preserve"> the lead in tim</w:t>
      </w:r>
      <w:r w:rsidR="00CE4B52" w:rsidRPr="00DF3DC5">
        <w:rPr>
          <w:rFonts w:eastAsia="Calibri" w:cs="Arial"/>
          <w:color w:val="auto"/>
          <w:lang w:eastAsia="en-US"/>
        </w:rPr>
        <w:t>e</w:t>
      </w:r>
      <w:r w:rsidRPr="00DF3DC5">
        <w:rPr>
          <w:rFonts w:eastAsia="Calibri" w:cs="Arial"/>
          <w:color w:val="auto"/>
          <w:lang w:eastAsia="en-US"/>
        </w:rPr>
        <w:t xml:space="preserve"> for these works.</w:t>
      </w:r>
    </w:p>
    <w:p w:rsidR="0068146F" w:rsidRDefault="0068146F" w:rsidP="00DF3DC5">
      <w:pPr>
        <w:spacing w:after="0"/>
        <w:rPr>
          <w:rFonts w:eastAsia="Calibri" w:cs="Arial"/>
          <w:color w:val="auto"/>
          <w:lang w:eastAsia="en-US"/>
        </w:rPr>
      </w:pPr>
    </w:p>
    <w:p w:rsidR="0068146F" w:rsidRPr="00DF3DC5" w:rsidRDefault="0068146F" w:rsidP="00DF3DC5">
      <w:pPr>
        <w:pStyle w:val="ListParagraph"/>
        <w:numPr>
          <w:ilvl w:val="0"/>
          <w:numId w:val="37"/>
        </w:numPr>
        <w:spacing w:after="0"/>
        <w:rPr>
          <w:rFonts w:eastAsia="Calibri" w:cs="Arial"/>
          <w:color w:val="auto"/>
          <w:lang w:eastAsia="en-US"/>
        </w:rPr>
      </w:pPr>
      <w:r w:rsidRPr="00DF3DC5">
        <w:rPr>
          <w:rFonts w:eastAsia="Calibri" w:cs="Arial"/>
          <w:color w:val="auto"/>
          <w:lang w:eastAsia="en-US"/>
        </w:rPr>
        <w:t>Lea</w:t>
      </w:r>
      <w:r w:rsidR="002363F0" w:rsidRPr="00DF3DC5">
        <w:rPr>
          <w:rFonts w:eastAsia="Calibri" w:cs="Arial"/>
          <w:color w:val="auto"/>
          <w:lang w:eastAsia="en-US"/>
        </w:rPr>
        <w:t>rning from this, we are now beginning t</w:t>
      </w:r>
      <w:r w:rsidRPr="00DF3DC5">
        <w:rPr>
          <w:rFonts w:eastAsia="Calibri" w:cs="Arial"/>
          <w:color w:val="auto"/>
          <w:lang w:eastAsia="en-US"/>
        </w:rPr>
        <w:t>he planning of schemes much earlier and are programming works accordingly</w:t>
      </w:r>
      <w:r w:rsidR="002363F0" w:rsidRPr="00DF3DC5">
        <w:rPr>
          <w:rFonts w:eastAsia="Calibri" w:cs="Arial"/>
          <w:color w:val="auto"/>
          <w:lang w:eastAsia="en-US"/>
        </w:rPr>
        <w:t>,</w:t>
      </w:r>
      <w:r w:rsidRPr="00DF3DC5">
        <w:rPr>
          <w:rFonts w:eastAsia="Calibri" w:cs="Arial"/>
          <w:color w:val="auto"/>
          <w:lang w:eastAsia="en-US"/>
        </w:rPr>
        <w:t xml:space="preserve"> in order to avoid future carry forwards wherever possible</w:t>
      </w:r>
      <w:r w:rsidR="00644CCC">
        <w:rPr>
          <w:rFonts w:eastAsia="Calibri" w:cs="Arial"/>
          <w:color w:val="auto"/>
          <w:lang w:eastAsia="en-US"/>
        </w:rPr>
        <w:t>.</w:t>
      </w:r>
    </w:p>
    <w:p w:rsidR="0068146F" w:rsidRDefault="0068146F" w:rsidP="00D57A71">
      <w:pPr>
        <w:spacing w:after="0"/>
        <w:rPr>
          <w:rFonts w:eastAsia="Calibri" w:cs="Arial"/>
          <w:color w:val="auto"/>
          <w:lang w:eastAsia="en-US"/>
        </w:rPr>
      </w:pPr>
    </w:p>
    <w:p w:rsidR="006F6C06" w:rsidRPr="00CF34CD" w:rsidRDefault="0073164B" w:rsidP="006F6C06">
      <w:pPr>
        <w:rPr>
          <w:b/>
        </w:rPr>
      </w:pPr>
      <w:r w:rsidRPr="00CF34CD">
        <w:rPr>
          <w:b/>
        </w:rPr>
        <w:t>Identification of schemes</w:t>
      </w:r>
    </w:p>
    <w:p w:rsidR="00CF34CD" w:rsidRPr="00CF34CD" w:rsidRDefault="00CF34CD" w:rsidP="00DF3DC5">
      <w:pPr>
        <w:pStyle w:val="ListParagraph"/>
        <w:numPr>
          <w:ilvl w:val="0"/>
          <w:numId w:val="37"/>
        </w:numPr>
      </w:pPr>
      <w:r w:rsidRPr="00CF34CD">
        <w:t>Schemes are identified in four ways.</w:t>
      </w:r>
    </w:p>
    <w:p w:rsidR="00CF34CD" w:rsidRPr="00CF34CD" w:rsidRDefault="00CF34CD" w:rsidP="00DF3DC5">
      <w:pPr>
        <w:pStyle w:val="ListParagraph"/>
        <w:numPr>
          <w:ilvl w:val="0"/>
          <w:numId w:val="42"/>
        </w:numPr>
      </w:pPr>
      <w:r w:rsidRPr="00CF34CD">
        <w:t>Requests from ward councillors</w:t>
      </w:r>
    </w:p>
    <w:p w:rsidR="00CF34CD" w:rsidRPr="00CF34CD" w:rsidRDefault="00CF34CD" w:rsidP="00DF3DC5">
      <w:pPr>
        <w:pStyle w:val="ListParagraph"/>
        <w:numPr>
          <w:ilvl w:val="0"/>
          <w:numId w:val="42"/>
        </w:numPr>
      </w:pPr>
      <w:r w:rsidRPr="00CF34CD">
        <w:t>Identification of specific issues on estates by Tenancy Management Officers</w:t>
      </w:r>
    </w:p>
    <w:p w:rsidR="00CF34CD" w:rsidRPr="00CF34CD" w:rsidRDefault="00CF34CD" w:rsidP="00DF3DC5">
      <w:pPr>
        <w:pStyle w:val="ListParagraph"/>
        <w:numPr>
          <w:ilvl w:val="0"/>
          <w:numId w:val="42"/>
        </w:numPr>
      </w:pPr>
      <w:r w:rsidRPr="00CF34CD">
        <w:t>Identification of areas where off street parking is uncontrolled and damaging the immediate environment</w:t>
      </w:r>
    </w:p>
    <w:p w:rsidR="00CF34CD" w:rsidRPr="00CF34CD" w:rsidRDefault="00CF34CD" w:rsidP="00416EF0">
      <w:pPr>
        <w:pStyle w:val="ListParagraph"/>
        <w:numPr>
          <w:ilvl w:val="0"/>
          <w:numId w:val="42"/>
        </w:numPr>
        <w:spacing w:after="0"/>
        <w:ind w:left="1077" w:hanging="357"/>
      </w:pPr>
      <w:r w:rsidRPr="00CF34CD">
        <w:t>Supplementary works in conjunction with the cyclical painting and repairs programme to provide a co-ordinated response and to maximise t</w:t>
      </w:r>
      <w:r w:rsidR="002363F0">
        <w:t>he impact of works on an estate</w:t>
      </w:r>
      <w:r w:rsidRPr="00CF34CD">
        <w:t xml:space="preserve"> to improve the appearance and immediate environment</w:t>
      </w:r>
      <w:r w:rsidR="002363F0">
        <w:t>.</w:t>
      </w:r>
    </w:p>
    <w:p w:rsidR="0073164B" w:rsidRDefault="0073164B" w:rsidP="00416EF0">
      <w:pPr>
        <w:spacing w:after="0"/>
        <w:rPr>
          <w:highlight w:val="yellow"/>
        </w:rPr>
      </w:pPr>
    </w:p>
    <w:p w:rsidR="0073164B" w:rsidRPr="002B3A52" w:rsidRDefault="0073164B" w:rsidP="006F6C06">
      <w:pPr>
        <w:rPr>
          <w:b/>
        </w:rPr>
      </w:pPr>
      <w:r w:rsidRPr="002B3A52">
        <w:rPr>
          <w:b/>
        </w:rPr>
        <w:t>Resident consultation</w:t>
      </w:r>
    </w:p>
    <w:p w:rsidR="00CF34CD" w:rsidRPr="002B3A52" w:rsidRDefault="00CF34CD" w:rsidP="00DF3DC5">
      <w:pPr>
        <w:pStyle w:val="ListParagraph"/>
        <w:numPr>
          <w:ilvl w:val="0"/>
          <w:numId w:val="37"/>
        </w:numPr>
      </w:pPr>
      <w:r w:rsidRPr="002B3A52">
        <w:t>Resident consultation is seen as key to the success of any improvements.  A process has been developed whereby initial plans are drawn up and tenants are then consulted on the proposals.  Thi</w:t>
      </w:r>
      <w:r w:rsidR="00CE4B52">
        <w:t>s is done via open evenings,</w:t>
      </w:r>
      <w:r w:rsidRPr="002B3A52">
        <w:t xml:space="preserve"> do</w:t>
      </w:r>
      <w:r w:rsidR="002B3A52" w:rsidRPr="002B3A52">
        <w:t>o</w:t>
      </w:r>
      <w:r w:rsidRPr="002B3A52">
        <w:t>r knocking</w:t>
      </w:r>
      <w:r w:rsidR="00CE4B52">
        <w:t xml:space="preserve"> and individual letters</w:t>
      </w:r>
      <w:r w:rsidRPr="002B3A52">
        <w:t xml:space="preserve">.  </w:t>
      </w:r>
      <w:r w:rsidR="002B3A52" w:rsidRPr="002B3A52">
        <w:t>Tenant’s</w:t>
      </w:r>
      <w:r w:rsidRPr="002B3A52">
        <w:t xml:space="preserve"> initiatives have assisted in this approach </w:t>
      </w:r>
      <w:r w:rsidR="002B3A52" w:rsidRPr="002B3A52">
        <w:t>w</w:t>
      </w:r>
      <w:r w:rsidRPr="002B3A52">
        <w:t xml:space="preserve">hich has </w:t>
      </w:r>
      <w:r w:rsidR="002B3A52" w:rsidRPr="002B3A52">
        <w:t>proved</w:t>
      </w:r>
      <w:r w:rsidRPr="002B3A52">
        <w:t xml:space="preserve"> to be very successful.</w:t>
      </w:r>
    </w:p>
    <w:p w:rsidR="00CF34CD" w:rsidRPr="002B3A52" w:rsidRDefault="00CF34CD" w:rsidP="00DF3DC5">
      <w:pPr>
        <w:pStyle w:val="ListParagraph"/>
        <w:numPr>
          <w:ilvl w:val="0"/>
          <w:numId w:val="37"/>
        </w:numPr>
      </w:pPr>
      <w:r w:rsidRPr="002B3A52">
        <w:t xml:space="preserve">During the consultation residents are asked for their views on the proposals and to put forward any ideas that they may have.  Wherever possible we incorporate </w:t>
      </w:r>
      <w:r w:rsidR="002B3A52" w:rsidRPr="002B3A52">
        <w:t>tenant’s suggestions into the final scheme.  This would include the layout of any landscaping and surface treatments, planting and designation of certain areas for specific uses.</w:t>
      </w:r>
    </w:p>
    <w:p w:rsidR="002B3A52" w:rsidRPr="002B3A52" w:rsidRDefault="002B3A52" w:rsidP="00416EF0">
      <w:pPr>
        <w:pStyle w:val="ListParagraph"/>
        <w:numPr>
          <w:ilvl w:val="0"/>
          <w:numId w:val="37"/>
        </w:numPr>
        <w:spacing w:after="0"/>
        <w:ind w:left="357" w:hanging="357"/>
      </w:pPr>
      <w:r w:rsidRPr="002B3A52">
        <w:t xml:space="preserve">Residents are also consulted on security measures where appropriate.  One such example is the introduction of wireless door entry which gives residents much better control via smart phones and other </w:t>
      </w:r>
      <w:r w:rsidR="002363F0">
        <w:t>similar</w:t>
      </w:r>
      <w:r w:rsidRPr="002B3A52">
        <w:t xml:space="preserve"> devices.</w:t>
      </w:r>
    </w:p>
    <w:p w:rsidR="0073164B" w:rsidRDefault="0073164B" w:rsidP="00416EF0">
      <w:pPr>
        <w:spacing w:after="0"/>
        <w:rPr>
          <w:highlight w:val="yellow"/>
        </w:rPr>
      </w:pPr>
    </w:p>
    <w:p w:rsidR="00416EF0" w:rsidRDefault="00416EF0" w:rsidP="00416EF0">
      <w:pPr>
        <w:spacing w:after="0"/>
        <w:rPr>
          <w:highlight w:val="yellow"/>
        </w:rPr>
      </w:pPr>
    </w:p>
    <w:p w:rsidR="00416EF0" w:rsidRDefault="00416EF0" w:rsidP="00416EF0">
      <w:pPr>
        <w:spacing w:after="0"/>
        <w:rPr>
          <w:highlight w:val="yellow"/>
        </w:rPr>
      </w:pPr>
    </w:p>
    <w:p w:rsidR="002B3A52" w:rsidRPr="00DF3DC5" w:rsidRDefault="002B3A52" w:rsidP="00DF3DC5">
      <w:pPr>
        <w:ind w:left="426" w:hanging="426"/>
        <w:rPr>
          <w:b/>
        </w:rPr>
      </w:pPr>
      <w:r w:rsidRPr="00DF3DC5">
        <w:rPr>
          <w:b/>
        </w:rPr>
        <w:lastRenderedPageBreak/>
        <w:t>Developing the overall approach</w:t>
      </w:r>
    </w:p>
    <w:p w:rsidR="002B3A52" w:rsidRPr="002942C3" w:rsidRDefault="002B3A52" w:rsidP="00DF3DC5">
      <w:pPr>
        <w:pStyle w:val="ListParagraph"/>
        <w:numPr>
          <w:ilvl w:val="0"/>
          <w:numId w:val="37"/>
        </w:numPr>
      </w:pPr>
      <w:r w:rsidRPr="002942C3">
        <w:t>We have put together a small team to project manage and co-ordinate this work.  This includes a project manager, surveyor and architectural assistant.</w:t>
      </w:r>
    </w:p>
    <w:p w:rsidR="002B3A52" w:rsidRPr="002942C3" w:rsidRDefault="002B3A52" w:rsidP="00DF3DC5">
      <w:pPr>
        <w:pStyle w:val="ListParagraph"/>
        <w:numPr>
          <w:ilvl w:val="0"/>
          <w:numId w:val="37"/>
        </w:numPr>
      </w:pPr>
      <w:r w:rsidRPr="002942C3">
        <w:t>Experience has taught us that detailed planning is essential to ensure smooth delivery of the projects, and lead in times can often be extended in order to undertake resident consultation, finalise the agreed plans</w:t>
      </w:r>
      <w:r w:rsidR="00B760F3" w:rsidRPr="002942C3">
        <w:t xml:space="preserve"> and</w:t>
      </w:r>
      <w:r w:rsidRPr="002942C3">
        <w:t xml:space="preserve"> receive planning permissions.  In some cases it is also necessary to undertake S20 leaseholder consultation in order to recover some of the costs.</w:t>
      </w:r>
    </w:p>
    <w:p w:rsidR="002B3A52" w:rsidRPr="002942C3" w:rsidRDefault="002942C3" w:rsidP="00416EF0">
      <w:pPr>
        <w:pStyle w:val="ListParagraph"/>
        <w:numPr>
          <w:ilvl w:val="0"/>
          <w:numId w:val="37"/>
        </w:numPr>
        <w:spacing w:after="0"/>
        <w:ind w:left="357" w:hanging="357"/>
      </w:pPr>
      <w:r w:rsidRPr="002942C3">
        <w:t>Direct Services undertake the majority of the work through their maintenance department, engineering department, and Parks.</w:t>
      </w:r>
    </w:p>
    <w:p w:rsidR="002B3A52" w:rsidRPr="00AD76C4" w:rsidRDefault="002B3A52" w:rsidP="00416EF0">
      <w:pPr>
        <w:spacing w:after="0"/>
      </w:pPr>
    </w:p>
    <w:p w:rsidR="0073164B" w:rsidRPr="00AD76C4" w:rsidRDefault="0073164B" w:rsidP="006F6C06">
      <w:pPr>
        <w:rPr>
          <w:b/>
        </w:rPr>
      </w:pPr>
      <w:r w:rsidRPr="00AD76C4">
        <w:rPr>
          <w:b/>
        </w:rPr>
        <w:t>Schemes completed during 16/17</w:t>
      </w:r>
    </w:p>
    <w:tbl>
      <w:tblPr>
        <w:tblStyle w:val="TableGrid1"/>
        <w:tblW w:w="9667" w:type="dxa"/>
        <w:tblLook w:val="04A0" w:firstRow="1" w:lastRow="0" w:firstColumn="1" w:lastColumn="0" w:noHBand="0" w:noVBand="1"/>
      </w:tblPr>
      <w:tblGrid>
        <w:gridCol w:w="3510"/>
        <w:gridCol w:w="6157"/>
      </w:tblGrid>
      <w:tr w:rsidR="00AD76C4" w:rsidRPr="00AD76C4" w:rsidTr="00562E8D">
        <w:tc>
          <w:tcPr>
            <w:tcW w:w="3510" w:type="dxa"/>
          </w:tcPr>
          <w:p w:rsidR="00AD76C4" w:rsidRPr="00AD76C4" w:rsidRDefault="00AD76C4" w:rsidP="00AD76C4">
            <w:pPr>
              <w:spacing w:after="0"/>
              <w:rPr>
                <w:color w:val="auto"/>
              </w:rPr>
            </w:pPr>
            <w:proofErr w:type="spellStart"/>
            <w:r w:rsidRPr="00AD76C4">
              <w:rPr>
                <w:color w:val="auto"/>
              </w:rPr>
              <w:t>Colemans</w:t>
            </w:r>
            <w:proofErr w:type="spellEnd"/>
            <w:r w:rsidRPr="00AD76C4">
              <w:rPr>
                <w:color w:val="auto"/>
              </w:rPr>
              <w:t xml:space="preserve"> Hill 1-43</w:t>
            </w:r>
          </w:p>
        </w:tc>
        <w:tc>
          <w:tcPr>
            <w:tcW w:w="6157" w:type="dxa"/>
          </w:tcPr>
          <w:p w:rsidR="00AD76C4" w:rsidRPr="00AD76C4" w:rsidRDefault="00AD76C4" w:rsidP="00AD76C4">
            <w:pPr>
              <w:spacing w:after="0"/>
              <w:rPr>
                <w:color w:val="auto"/>
              </w:rPr>
            </w:pPr>
            <w:r w:rsidRPr="00AD76C4">
              <w:rPr>
                <w:color w:val="auto"/>
              </w:rPr>
              <w:t xml:space="preserve">Environmental improvements, security, </w:t>
            </w:r>
          </w:p>
        </w:tc>
      </w:tr>
      <w:tr w:rsidR="00AD76C4" w:rsidRPr="00AD76C4" w:rsidTr="00562E8D">
        <w:tc>
          <w:tcPr>
            <w:tcW w:w="3510" w:type="dxa"/>
          </w:tcPr>
          <w:p w:rsidR="00AD76C4" w:rsidRPr="00AD76C4" w:rsidRDefault="00AD76C4" w:rsidP="00AD76C4">
            <w:pPr>
              <w:spacing w:after="0"/>
              <w:rPr>
                <w:color w:val="auto"/>
              </w:rPr>
            </w:pPr>
            <w:proofErr w:type="spellStart"/>
            <w:r w:rsidRPr="00AD76C4">
              <w:rPr>
                <w:color w:val="auto"/>
              </w:rPr>
              <w:t>Druce</w:t>
            </w:r>
            <w:proofErr w:type="spellEnd"/>
            <w:r w:rsidRPr="00AD76C4">
              <w:rPr>
                <w:color w:val="auto"/>
              </w:rPr>
              <w:t xml:space="preserve"> Way 28-55  </w:t>
            </w:r>
          </w:p>
        </w:tc>
        <w:tc>
          <w:tcPr>
            <w:tcW w:w="6157" w:type="dxa"/>
          </w:tcPr>
          <w:p w:rsidR="00AD76C4" w:rsidRPr="00AD76C4" w:rsidRDefault="00AD76C4" w:rsidP="00AD76C4">
            <w:pPr>
              <w:spacing w:after="0"/>
              <w:rPr>
                <w:color w:val="auto"/>
              </w:rPr>
            </w:pPr>
            <w:r w:rsidRPr="00AD76C4">
              <w:rPr>
                <w:color w:val="auto"/>
              </w:rPr>
              <w:t>New bin stores</w:t>
            </w:r>
          </w:p>
        </w:tc>
      </w:tr>
      <w:tr w:rsidR="00AD76C4" w:rsidRPr="00AD76C4" w:rsidTr="00562E8D">
        <w:tc>
          <w:tcPr>
            <w:tcW w:w="3510" w:type="dxa"/>
          </w:tcPr>
          <w:p w:rsidR="00AD76C4" w:rsidRPr="00AD76C4" w:rsidRDefault="00AD76C4" w:rsidP="00AD76C4">
            <w:pPr>
              <w:spacing w:after="0"/>
              <w:rPr>
                <w:color w:val="auto"/>
              </w:rPr>
            </w:pPr>
            <w:r w:rsidRPr="00AD76C4">
              <w:rPr>
                <w:color w:val="auto"/>
              </w:rPr>
              <w:t xml:space="preserve">Warburg Crescent 31-58  </w:t>
            </w:r>
          </w:p>
        </w:tc>
        <w:tc>
          <w:tcPr>
            <w:tcW w:w="6157" w:type="dxa"/>
          </w:tcPr>
          <w:p w:rsidR="00AD76C4" w:rsidRPr="00AD76C4" w:rsidRDefault="00AD76C4" w:rsidP="00AD76C4">
            <w:pPr>
              <w:spacing w:after="0"/>
              <w:rPr>
                <w:color w:val="auto"/>
              </w:rPr>
            </w:pPr>
            <w:r w:rsidRPr="00AD76C4">
              <w:rPr>
                <w:color w:val="auto"/>
              </w:rPr>
              <w:t>New bin stores</w:t>
            </w:r>
          </w:p>
        </w:tc>
      </w:tr>
      <w:tr w:rsidR="00AD76C4" w:rsidRPr="00AD76C4" w:rsidTr="00562E8D">
        <w:tc>
          <w:tcPr>
            <w:tcW w:w="3510" w:type="dxa"/>
          </w:tcPr>
          <w:p w:rsidR="00AD76C4" w:rsidRPr="00AD76C4" w:rsidRDefault="00AD76C4" w:rsidP="00AD76C4">
            <w:pPr>
              <w:spacing w:after="0"/>
              <w:rPr>
                <w:color w:val="auto"/>
              </w:rPr>
            </w:pPr>
            <w:r w:rsidRPr="00AD76C4">
              <w:rPr>
                <w:color w:val="auto"/>
              </w:rPr>
              <w:t>Whitworth Place 1-24</w:t>
            </w:r>
          </w:p>
        </w:tc>
        <w:tc>
          <w:tcPr>
            <w:tcW w:w="6157" w:type="dxa"/>
          </w:tcPr>
          <w:p w:rsidR="00AD76C4" w:rsidRPr="00AD76C4" w:rsidRDefault="00AD76C4" w:rsidP="00AD76C4">
            <w:pPr>
              <w:spacing w:after="0"/>
              <w:rPr>
                <w:color w:val="auto"/>
              </w:rPr>
            </w:pPr>
            <w:r w:rsidRPr="00AD76C4">
              <w:rPr>
                <w:color w:val="auto"/>
              </w:rPr>
              <w:t>New bin stores</w:t>
            </w:r>
          </w:p>
        </w:tc>
      </w:tr>
      <w:tr w:rsidR="00AD76C4" w:rsidRPr="00AD76C4" w:rsidTr="00562E8D">
        <w:tc>
          <w:tcPr>
            <w:tcW w:w="3510" w:type="dxa"/>
          </w:tcPr>
          <w:p w:rsidR="00AD76C4" w:rsidRPr="00AD76C4" w:rsidRDefault="00AD76C4" w:rsidP="00AD76C4">
            <w:pPr>
              <w:spacing w:after="0"/>
              <w:rPr>
                <w:color w:val="auto"/>
              </w:rPr>
            </w:pPr>
            <w:proofErr w:type="spellStart"/>
            <w:r w:rsidRPr="00AD76C4">
              <w:rPr>
                <w:color w:val="auto"/>
              </w:rPr>
              <w:t>Overmead</w:t>
            </w:r>
            <w:proofErr w:type="spellEnd"/>
            <w:r w:rsidRPr="00AD76C4">
              <w:rPr>
                <w:color w:val="auto"/>
              </w:rPr>
              <w:t xml:space="preserve"> Green 7-29  </w:t>
            </w:r>
          </w:p>
        </w:tc>
        <w:tc>
          <w:tcPr>
            <w:tcW w:w="6157" w:type="dxa"/>
          </w:tcPr>
          <w:p w:rsidR="00AD76C4" w:rsidRPr="00AD76C4" w:rsidRDefault="00AD76C4" w:rsidP="00AD76C4">
            <w:pPr>
              <w:spacing w:after="0"/>
              <w:rPr>
                <w:color w:val="auto"/>
              </w:rPr>
            </w:pPr>
            <w:r w:rsidRPr="00AD76C4">
              <w:rPr>
                <w:color w:val="auto"/>
              </w:rPr>
              <w:t>Garden environment and bin stores</w:t>
            </w:r>
          </w:p>
        </w:tc>
      </w:tr>
      <w:tr w:rsidR="00AD76C4" w:rsidRPr="00AD76C4" w:rsidTr="00562E8D">
        <w:tc>
          <w:tcPr>
            <w:tcW w:w="3510" w:type="dxa"/>
          </w:tcPr>
          <w:p w:rsidR="00AD76C4" w:rsidRPr="00AD76C4" w:rsidRDefault="00AD76C4" w:rsidP="00AD76C4">
            <w:pPr>
              <w:spacing w:after="0"/>
              <w:rPr>
                <w:color w:val="auto"/>
              </w:rPr>
            </w:pPr>
            <w:r w:rsidRPr="00AD76C4">
              <w:rPr>
                <w:color w:val="auto"/>
              </w:rPr>
              <w:t>Preachers Lane/ Friars Wharf</w:t>
            </w:r>
          </w:p>
        </w:tc>
        <w:tc>
          <w:tcPr>
            <w:tcW w:w="6157" w:type="dxa"/>
          </w:tcPr>
          <w:p w:rsidR="00AD76C4" w:rsidRPr="00AD76C4" w:rsidRDefault="00AD76C4" w:rsidP="00AD76C4">
            <w:pPr>
              <w:spacing w:after="0"/>
              <w:rPr>
                <w:color w:val="auto"/>
              </w:rPr>
            </w:pPr>
            <w:r w:rsidRPr="00AD76C4">
              <w:rPr>
                <w:color w:val="auto"/>
              </w:rPr>
              <w:t>Door entry and new entrance doors</w:t>
            </w:r>
          </w:p>
        </w:tc>
      </w:tr>
      <w:tr w:rsidR="00AD76C4" w:rsidRPr="00AD76C4" w:rsidTr="00562E8D">
        <w:tc>
          <w:tcPr>
            <w:tcW w:w="3510" w:type="dxa"/>
          </w:tcPr>
          <w:p w:rsidR="00AD76C4" w:rsidRPr="00AD76C4" w:rsidRDefault="00AD76C4" w:rsidP="00AD76C4">
            <w:pPr>
              <w:spacing w:after="0"/>
              <w:rPr>
                <w:color w:val="auto"/>
              </w:rPr>
            </w:pPr>
            <w:r w:rsidRPr="00AD76C4">
              <w:rPr>
                <w:color w:val="auto"/>
              </w:rPr>
              <w:t>Linnet Close 7-24</w:t>
            </w:r>
          </w:p>
        </w:tc>
        <w:tc>
          <w:tcPr>
            <w:tcW w:w="6157" w:type="dxa"/>
          </w:tcPr>
          <w:p w:rsidR="00AD76C4" w:rsidRPr="00AD76C4" w:rsidRDefault="00AD76C4" w:rsidP="00AD76C4">
            <w:pPr>
              <w:spacing w:after="0"/>
              <w:rPr>
                <w:color w:val="auto"/>
              </w:rPr>
            </w:pPr>
            <w:r w:rsidRPr="00AD76C4">
              <w:rPr>
                <w:color w:val="auto"/>
              </w:rPr>
              <w:t>Garden environment</w:t>
            </w:r>
          </w:p>
        </w:tc>
      </w:tr>
      <w:tr w:rsidR="00AD76C4" w:rsidRPr="00AD76C4" w:rsidTr="00562E8D">
        <w:tc>
          <w:tcPr>
            <w:tcW w:w="3510" w:type="dxa"/>
          </w:tcPr>
          <w:p w:rsidR="00AD76C4" w:rsidRPr="00AD76C4" w:rsidRDefault="00AD76C4" w:rsidP="00AD76C4">
            <w:pPr>
              <w:spacing w:after="0"/>
              <w:rPr>
                <w:color w:val="auto"/>
              </w:rPr>
            </w:pPr>
            <w:proofErr w:type="spellStart"/>
            <w:r w:rsidRPr="00AD76C4">
              <w:rPr>
                <w:color w:val="auto"/>
              </w:rPr>
              <w:t>Taggs</w:t>
            </w:r>
            <w:proofErr w:type="spellEnd"/>
            <w:r w:rsidRPr="00AD76C4">
              <w:rPr>
                <w:color w:val="auto"/>
              </w:rPr>
              <w:t xml:space="preserve"> Gate &amp; </w:t>
            </w:r>
            <w:proofErr w:type="spellStart"/>
            <w:r w:rsidRPr="00AD76C4">
              <w:rPr>
                <w:color w:val="auto"/>
              </w:rPr>
              <w:t>Stowford</w:t>
            </w:r>
            <w:proofErr w:type="spellEnd"/>
            <w:r w:rsidRPr="00AD76C4">
              <w:rPr>
                <w:color w:val="auto"/>
              </w:rPr>
              <w:t xml:space="preserve"> Road</w:t>
            </w:r>
          </w:p>
        </w:tc>
        <w:tc>
          <w:tcPr>
            <w:tcW w:w="6157" w:type="dxa"/>
          </w:tcPr>
          <w:p w:rsidR="00AD76C4" w:rsidRPr="00AD76C4" w:rsidRDefault="00AD76C4" w:rsidP="00AD76C4">
            <w:pPr>
              <w:spacing w:after="0"/>
              <w:rPr>
                <w:color w:val="auto"/>
              </w:rPr>
            </w:pPr>
            <w:r w:rsidRPr="00AD76C4">
              <w:rPr>
                <w:color w:val="auto"/>
              </w:rPr>
              <w:t>Level forecourts on demo</w:t>
            </w:r>
            <w:r>
              <w:rPr>
                <w:color w:val="auto"/>
              </w:rPr>
              <w:t>lished garage s</w:t>
            </w:r>
            <w:r w:rsidRPr="00AD76C4">
              <w:rPr>
                <w:color w:val="auto"/>
              </w:rPr>
              <w:t>ites on HR land</w:t>
            </w:r>
          </w:p>
        </w:tc>
      </w:tr>
      <w:tr w:rsidR="00AD76C4" w:rsidRPr="00AD76C4" w:rsidTr="00562E8D">
        <w:tc>
          <w:tcPr>
            <w:tcW w:w="3510" w:type="dxa"/>
          </w:tcPr>
          <w:p w:rsidR="00AD76C4" w:rsidRPr="00AD76C4" w:rsidRDefault="00AD76C4" w:rsidP="00AD76C4">
            <w:pPr>
              <w:spacing w:after="0"/>
              <w:rPr>
                <w:color w:val="auto"/>
              </w:rPr>
            </w:pPr>
            <w:r w:rsidRPr="00AD76C4">
              <w:rPr>
                <w:color w:val="auto"/>
              </w:rPr>
              <w:t>Denny Gardens</w:t>
            </w:r>
          </w:p>
        </w:tc>
        <w:tc>
          <w:tcPr>
            <w:tcW w:w="6157" w:type="dxa"/>
          </w:tcPr>
          <w:p w:rsidR="00AD76C4" w:rsidRPr="00AD76C4" w:rsidRDefault="00AD76C4" w:rsidP="00AD76C4">
            <w:pPr>
              <w:spacing w:after="0"/>
              <w:rPr>
                <w:color w:val="auto"/>
              </w:rPr>
            </w:pPr>
            <w:r w:rsidRPr="00AD76C4">
              <w:rPr>
                <w:color w:val="auto"/>
              </w:rPr>
              <w:t>Community garden</w:t>
            </w:r>
          </w:p>
        </w:tc>
      </w:tr>
      <w:tr w:rsidR="00AD76C4" w:rsidRPr="00AD76C4" w:rsidTr="00562E8D">
        <w:tc>
          <w:tcPr>
            <w:tcW w:w="3510" w:type="dxa"/>
          </w:tcPr>
          <w:p w:rsidR="00AD76C4" w:rsidRPr="00AD76C4" w:rsidRDefault="00AD76C4" w:rsidP="00AD76C4">
            <w:pPr>
              <w:spacing w:after="0"/>
              <w:rPr>
                <w:color w:val="auto"/>
              </w:rPr>
            </w:pPr>
            <w:r w:rsidRPr="00AD76C4">
              <w:rPr>
                <w:color w:val="auto"/>
              </w:rPr>
              <w:t>Various</w:t>
            </w:r>
          </w:p>
        </w:tc>
        <w:tc>
          <w:tcPr>
            <w:tcW w:w="6157" w:type="dxa"/>
          </w:tcPr>
          <w:p w:rsidR="00AD76C4" w:rsidRPr="00AD76C4" w:rsidRDefault="00AD76C4" w:rsidP="00AD76C4">
            <w:pPr>
              <w:spacing w:after="0"/>
              <w:rPr>
                <w:color w:val="auto"/>
              </w:rPr>
            </w:pPr>
            <w:r w:rsidRPr="00AD76C4">
              <w:rPr>
                <w:color w:val="auto"/>
              </w:rPr>
              <w:t>Floor coverings</w:t>
            </w:r>
          </w:p>
        </w:tc>
      </w:tr>
      <w:tr w:rsidR="00AD76C4" w:rsidRPr="00AD76C4" w:rsidTr="00562E8D">
        <w:tc>
          <w:tcPr>
            <w:tcW w:w="3510" w:type="dxa"/>
          </w:tcPr>
          <w:p w:rsidR="00AD76C4" w:rsidRPr="00AD76C4" w:rsidRDefault="00CE4B52" w:rsidP="00AD76C4">
            <w:pPr>
              <w:spacing w:after="0"/>
              <w:rPr>
                <w:color w:val="auto"/>
              </w:rPr>
            </w:pPr>
            <w:r>
              <w:rPr>
                <w:color w:val="auto"/>
              </w:rPr>
              <w:t>Various</w:t>
            </w:r>
          </w:p>
        </w:tc>
        <w:tc>
          <w:tcPr>
            <w:tcW w:w="6157" w:type="dxa"/>
          </w:tcPr>
          <w:p w:rsidR="00AD76C4" w:rsidRPr="00AD76C4" w:rsidRDefault="00CE4B52" w:rsidP="00AD76C4">
            <w:pPr>
              <w:spacing w:after="0"/>
              <w:rPr>
                <w:color w:val="auto"/>
              </w:rPr>
            </w:pPr>
            <w:r w:rsidRPr="00CE4B52">
              <w:rPr>
                <w:color w:val="auto"/>
              </w:rPr>
              <w:t>Car parking schemes</w:t>
            </w:r>
          </w:p>
        </w:tc>
      </w:tr>
    </w:tbl>
    <w:p w:rsidR="0073164B" w:rsidRDefault="0073164B" w:rsidP="006F6C06">
      <w:pPr>
        <w:rPr>
          <w:highlight w:val="yellow"/>
        </w:rPr>
      </w:pPr>
    </w:p>
    <w:p w:rsidR="0073164B" w:rsidRDefault="0073164B" w:rsidP="006F6C06">
      <w:pPr>
        <w:rPr>
          <w:b/>
        </w:rPr>
      </w:pPr>
      <w:r w:rsidRPr="00AD76C4">
        <w:rPr>
          <w:b/>
        </w:rPr>
        <w:t>Proposed works for 17/18</w:t>
      </w:r>
    </w:p>
    <w:p w:rsidR="00AD76C4" w:rsidRDefault="00AD76C4" w:rsidP="00416EF0">
      <w:pPr>
        <w:pStyle w:val="ListParagraph"/>
        <w:numPr>
          <w:ilvl w:val="0"/>
          <w:numId w:val="37"/>
        </w:numPr>
      </w:pPr>
      <w:r w:rsidRPr="00AD76C4">
        <w:t>The programme currently identified for the coming financial year is below</w:t>
      </w:r>
      <w:r>
        <w:t xml:space="preserve">.  Other works identified during the year may be added </w:t>
      </w:r>
      <w:r w:rsidR="00CE4B52">
        <w:t>if ther</w:t>
      </w:r>
      <w:r>
        <w:t xml:space="preserve">e is </w:t>
      </w:r>
      <w:r w:rsidR="00CE4B52">
        <w:t>sufficient</w:t>
      </w:r>
      <w:r>
        <w:t xml:space="preserve"> funding </w:t>
      </w:r>
      <w:r w:rsidR="00CE4B52">
        <w:t xml:space="preserve">within the year and </w:t>
      </w:r>
      <w:r>
        <w:t>subject to the statutory approvals required.</w:t>
      </w:r>
    </w:p>
    <w:p w:rsidR="00AD76C4" w:rsidRDefault="00AD76C4" w:rsidP="00416EF0">
      <w:pPr>
        <w:pStyle w:val="ListParagraph"/>
        <w:numPr>
          <w:ilvl w:val="0"/>
          <w:numId w:val="37"/>
        </w:numPr>
      </w:pPr>
      <w:r>
        <w:t>The ma</w:t>
      </w:r>
      <w:r w:rsidR="000E3DFC">
        <w:t>i</w:t>
      </w:r>
      <w:r>
        <w:t>n focus of the 17/18 programme is on Townsend Square.  This estate has had little done to it over the past ten years and we are comb</w:t>
      </w:r>
      <w:r w:rsidR="00F77CEA">
        <w:t>in</w:t>
      </w:r>
      <w:r>
        <w:t xml:space="preserve">ing </w:t>
      </w:r>
      <w:r w:rsidR="00F77CEA">
        <w:t>our</w:t>
      </w:r>
      <w:r>
        <w:t xml:space="preserve"> resources </w:t>
      </w:r>
      <w:r w:rsidR="000E3DFC">
        <w:t>to improve parking, the external appearance of the blocks, landscaping and security.  We hope that</w:t>
      </w:r>
      <w:r w:rsidR="00F77CEA">
        <w:t xml:space="preserve"> by</w:t>
      </w:r>
      <w:r w:rsidR="000E3DFC">
        <w:t xml:space="preserve"> combining works from several budgets in one co-ordinated approach we will increase the overall impact of he works and make a significant difference to</w:t>
      </w:r>
      <w:r w:rsidR="00644CCC">
        <w:t xml:space="preserve"> the</w:t>
      </w:r>
      <w:r w:rsidR="000E3DFC">
        <w:t xml:space="preserve"> estate environment.</w:t>
      </w:r>
    </w:p>
    <w:p w:rsidR="000E3DFC" w:rsidRDefault="000E3DFC" w:rsidP="00416EF0">
      <w:pPr>
        <w:pStyle w:val="ListParagraph"/>
        <w:numPr>
          <w:ilvl w:val="0"/>
          <w:numId w:val="37"/>
        </w:numPr>
      </w:pPr>
      <w:r>
        <w:t xml:space="preserve">We are also undertaking a review of all blocks on Blackbird Leys in order to inform a </w:t>
      </w:r>
      <w:bookmarkStart w:id="0" w:name="_GoBack"/>
      <w:bookmarkEnd w:id="0"/>
      <w:r>
        <w:t>prioritised programme of improvement works for</w:t>
      </w:r>
      <w:r w:rsidR="00046433">
        <w:t xml:space="preserve"> future years.  This will involve developing a design solution for each block type.</w:t>
      </w:r>
    </w:p>
    <w:tbl>
      <w:tblPr>
        <w:tblStyle w:val="TableGrid2"/>
        <w:tblW w:w="9667" w:type="dxa"/>
        <w:tblLook w:val="04A0" w:firstRow="1" w:lastRow="0" w:firstColumn="1" w:lastColumn="0" w:noHBand="0" w:noVBand="1"/>
      </w:tblPr>
      <w:tblGrid>
        <w:gridCol w:w="3510"/>
        <w:gridCol w:w="6157"/>
      </w:tblGrid>
      <w:tr w:rsidR="00AD76C4" w:rsidRPr="00AD76C4" w:rsidTr="00562E8D">
        <w:tc>
          <w:tcPr>
            <w:tcW w:w="3510" w:type="dxa"/>
          </w:tcPr>
          <w:p w:rsidR="00AD76C4" w:rsidRPr="00AD76C4" w:rsidRDefault="00AD76C4" w:rsidP="00AD76C4">
            <w:pPr>
              <w:spacing w:after="0"/>
              <w:rPr>
                <w:color w:val="auto"/>
              </w:rPr>
            </w:pPr>
            <w:r w:rsidRPr="00AD76C4">
              <w:rPr>
                <w:color w:val="auto"/>
              </w:rPr>
              <w:t xml:space="preserve">Wolsey House  214-240 </w:t>
            </w:r>
          </w:p>
          <w:p w:rsidR="00AD76C4" w:rsidRPr="00AD76C4" w:rsidRDefault="00AD76C4" w:rsidP="00AD76C4">
            <w:pPr>
              <w:spacing w:after="0"/>
              <w:rPr>
                <w:color w:val="auto"/>
              </w:rPr>
            </w:pPr>
            <w:r w:rsidRPr="00AD76C4">
              <w:rPr>
                <w:color w:val="auto"/>
              </w:rPr>
              <w:t xml:space="preserve">Riley House 86-212  </w:t>
            </w:r>
          </w:p>
        </w:tc>
        <w:tc>
          <w:tcPr>
            <w:tcW w:w="6157" w:type="dxa"/>
          </w:tcPr>
          <w:p w:rsidR="00AD76C4" w:rsidRPr="00AD76C4" w:rsidRDefault="00AD76C4" w:rsidP="00AD76C4">
            <w:pPr>
              <w:spacing w:after="0"/>
              <w:rPr>
                <w:color w:val="auto"/>
              </w:rPr>
            </w:pPr>
            <w:r w:rsidRPr="00AD76C4">
              <w:rPr>
                <w:color w:val="auto"/>
              </w:rPr>
              <w:t>Door entry</w:t>
            </w:r>
          </w:p>
        </w:tc>
      </w:tr>
      <w:tr w:rsidR="00AD76C4" w:rsidRPr="00AD76C4" w:rsidTr="00562E8D">
        <w:tc>
          <w:tcPr>
            <w:tcW w:w="3510" w:type="dxa"/>
          </w:tcPr>
          <w:p w:rsidR="00AD76C4" w:rsidRPr="00AD76C4" w:rsidRDefault="00AD76C4" w:rsidP="00AD76C4">
            <w:pPr>
              <w:spacing w:after="0"/>
              <w:rPr>
                <w:color w:val="auto"/>
              </w:rPr>
            </w:pPr>
            <w:r w:rsidRPr="00AD76C4">
              <w:rPr>
                <w:color w:val="auto"/>
              </w:rPr>
              <w:t>Hawksmoor Road 1-84</w:t>
            </w:r>
          </w:p>
        </w:tc>
        <w:tc>
          <w:tcPr>
            <w:tcW w:w="6157" w:type="dxa"/>
          </w:tcPr>
          <w:p w:rsidR="00AD76C4" w:rsidRPr="00AD76C4" w:rsidRDefault="00AD76C4" w:rsidP="00AD76C4">
            <w:pPr>
              <w:spacing w:after="0"/>
              <w:rPr>
                <w:color w:val="auto"/>
              </w:rPr>
            </w:pPr>
            <w:r w:rsidRPr="00AD76C4">
              <w:rPr>
                <w:color w:val="auto"/>
              </w:rPr>
              <w:t>Garden environment</w:t>
            </w:r>
          </w:p>
        </w:tc>
      </w:tr>
      <w:tr w:rsidR="00AD76C4" w:rsidRPr="00AD76C4" w:rsidTr="00562E8D">
        <w:tc>
          <w:tcPr>
            <w:tcW w:w="3510" w:type="dxa"/>
          </w:tcPr>
          <w:p w:rsidR="00AD76C4" w:rsidRPr="00AD76C4" w:rsidRDefault="00AD76C4" w:rsidP="00AD76C4">
            <w:pPr>
              <w:spacing w:after="0"/>
              <w:rPr>
                <w:color w:val="auto"/>
              </w:rPr>
            </w:pPr>
            <w:r w:rsidRPr="00AD76C4">
              <w:rPr>
                <w:color w:val="auto"/>
              </w:rPr>
              <w:t>Birchfield Close 21-55</w:t>
            </w:r>
          </w:p>
        </w:tc>
        <w:tc>
          <w:tcPr>
            <w:tcW w:w="6157" w:type="dxa"/>
          </w:tcPr>
          <w:p w:rsidR="00AD76C4" w:rsidRPr="00AD76C4" w:rsidRDefault="00AD76C4" w:rsidP="00AD76C4">
            <w:pPr>
              <w:spacing w:after="0"/>
              <w:rPr>
                <w:color w:val="auto"/>
              </w:rPr>
            </w:pPr>
            <w:r w:rsidRPr="00AD76C4">
              <w:rPr>
                <w:color w:val="auto"/>
              </w:rPr>
              <w:t>Garden environment</w:t>
            </w:r>
          </w:p>
        </w:tc>
      </w:tr>
      <w:tr w:rsidR="00AD76C4" w:rsidRPr="00AD76C4" w:rsidTr="00562E8D">
        <w:tc>
          <w:tcPr>
            <w:tcW w:w="3510" w:type="dxa"/>
          </w:tcPr>
          <w:p w:rsidR="00AD76C4" w:rsidRPr="00AD76C4" w:rsidRDefault="00AD76C4" w:rsidP="00AD76C4">
            <w:pPr>
              <w:spacing w:after="0"/>
              <w:rPr>
                <w:color w:val="auto"/>
              </w:rPr>
            </w:pPr>
            <w:proofErr w:type="spellStart"/>
            <w:r w:rsidRPr="00AD76C4">
              <w:rPr>
                <w:color w:val="auto"/>
              </w:rPr>
              <w:t>Cowley</w:t>
            </w:r>
            <w:proofErr w:type="spellEnd"/>
            <w:r w:rsidRPr="00AD76C4">
              <w:rPr>
                <w:color w:val="auto"/>
              </w:rPr>
              <w:t xml:space="preserve"> Road 151a, Flats 1-9</w:t>
            </w:r>
          </w:p>
        </w:tc>
        <w:tc>
          <w:tcPr>
            <w:tcW w:w="6157" w:type="dxa"/>
          </w:tcPr>
          <w:p w:rsidR="00AD76C4" w:rsidRPr="00AD76C4" w:rsidRDefault="00AD76C4" w:rsidP="00AD76C4">
            <w:pPr>
              <w:spacing w:after="0"/>
              <w:rPr>
                <w:color w:val="auto"/>
              </w:rPr>
            </w:pPr>
            <w:r w:rsidRPr="00AD76C4">
              <w:rPr>
                <w:color w:val="auto"/>
              </w:rPr>
              <w:t xml:space="preserve">Roof Garden/Environment   </w:t>
            </w:r>
          </w:p>
        </w:tc>
      </w:tr>
      <w:tr w:rsidR="00AD76C4" w:rsidRPr="00AD76C4" w:rsidTr="00562E8D">
        <w:tc>
          <w:tcPr>
            <w:tcW w:w="3510" w:type="dxa"/>
          </w:tcPr>
          <w:p w:rsidR="00AD76C4" w:rsidRPr="00AD76C4" w:rsidRDefault="00AD76C4" w:rsidP="00AD76C4">
            <w:pPr>
              <w:spacing w:after="0"/>
              <w:rPr>
                <w:color w:val="auto"/>
              </w:rPr>
            </w:pPr>
            <w:r w:rsidRPr="00AD76C4">
              <w:rPr>
                <w:color w:val="auto"/>
              </w:rPr>
              <w:t>Townsend Square</w:t>
            </w:r>
          </w:p>
        </w:tc>
        <w:tc>
          <w:tcPr>
            <w:tcW w:w="6157" w:type="dxa"/>
          </w:tcPr>
          <w:p w:rsidR="00AD76C4" w:rsidRPr="00AD76C4" w:rsidRDefault="00AD76C4" w:rsidP="00AD76C4">
            <w:pPr>
              <w:spacing w:after="0"/>
              <w:rPr>
                <w:color w:val="auto"/>
              </w:rPr>
            </w:pPr>
            <w:r w:rsidRPr="00AD76C4">
              <w:rPr>
                <w:color w:val="auto"/>
              </w:rPr>
              <w:t>Environmental improvements and  car parking in association with cyclical painting and repairs</w:t>
            </w:r>
          </w:p>
        </w:tc>
      </w:tr>
      <w:tr w:rsidR="00AD76C4" w:rsidRPr="00AD76C4" w:rsidTr="00562E8D">
        <w:tc>
          <w:tcPr>
            <w:tcW w:w="3510" w:type="dxa"/>
          </w:tcPr>
          <w:p w:rsidR="00AD76C4" w:rsidRPr="00AD76C4" w:rsidRDefault="00AD76C4" w:rsidP="00AD76C4">
            <w:pPr>
              <w:spacing w:after="0"/>
              <w:rPr>
                <w:color w:val="auto"/>
              </w:rPr>
            </w:pPr>
            <w:r w:rsidRPr="00AD76C4">
              <w:rPr>
                <w:color w:val="auto"/>
              </w:rPr>
              <w:t>Blocks on blackbird leys</w:t>
            </w:r>
          </w:p>
        </w:tc>
        <w:tc>
          <w:tcPr>
            <w:tcW w:w="6157" w:type="dxa"/>
          </w:tcPr>
          <w:p w:rsidR="00AD76C4" w:rsidRPr="00AD76C4" w:rsidRDefault="00AD76C4" w:rsidP="00AD76C4">
            <w:pPr>
              <w:spacing w:after="0"/>
              <w:rPr>
                <w:color w:val="auto"/>
              </w:rPr>
            </w:pPr>
            <w:r w:rsidRPr="00AD76C4">
              <w:rPr>
                <w:color w:val="auto"/>
              </w:rPr>
              <w:t>Assessment of all blocks and prioritisation for future improvement works</w:t>
            </w:r>
          </w:p>
        </w:tc>
      </w:tr>
    </w:tbl>
    <w:p w:rsidR="007A09D6" w:rsidRPr="0006471D" w:rsidRDefault="007A09D6" w:rsidP="007A09D6">
      <w:pPr>
        <w:rPr>
          <w:highlight w:val="yellow"/>
        </w:rPr>
      </w:pPr>
    </w:p>
    <w:p w:rsidR="0040736F" w:rsidRPr="00046433" w:rsidRDefault="001F7900" w:rsidP="004A6D2F">
      <w:pPr>
        <w:pStyle w:val="Heading1"/>
      </w:pPr>
      <w:r w:rsidRPr="00046433">
        <w:lastRenderedPageBreak/>
        <w:t>F</w:t>
      </w:r>
      <w:r w:rsidR="002329CF" w:rsidRPr="00046433">
        <w:t>inancial implications</w:t>
      </w:r>
    </w:p>
    <w:p w:rsidR="00E87F7A" w:rsidRPr="00046433" w:rsidRDefault="001F7900" w:rsidP="00416EF0">
      <w:pPr>
        <w:pStyle w:val="ListParagraph"/>
        <w:numPr>
          <w:ilvl w:val="0"/>
          <w:numId w:val="37"/>
        </w:numPr>
      </w:pPr>
      <w:r w:rsidRPr="00046433">
        <w:t>None</w:t>
      </w:r>
    </w:p>
    <w:p w:rsidR="0040736F" w:rsidRPr="00046433" w:rsidRDefault="00DA614B" w:rsidP="004A6D2F">
      <w:pPr>
        <w:pStyle w:val="Heading1"/>
      </w:pPr>
      <w:r w:rsidRPr="00046433">
        <w:t>Legal issues</w:t>
      </w:r>
    </w:p>
    <w:p w:rsidR="00E87F7A" w:rsidRPr="00046433" w:rsidRDefault="001F7900" w:rsidP="00416EF0">
      <w:pPr>
        <w:pStyle w:val="ListParagraph"/>
        <w:numPr>
          <w:ilvl w:val="0"/>
          <w:numId w:val="37"/>
        </w:numPr>
      </w:pPr>
      <w:r w:rsidRPr="00046433">
        <w:t>None</w:t>
      </w:r>
    </w:p>
    <w:p w:rsidR="00E87F7A" w:rsidRPr="00046433" w:rsidRDefault="00E87F7A" w:rsidP="00E87F7A">
      <w:pPr>
        <w:pStyle w:val="Heading1"/>
      </w:pPr>
      <w:r w:rsidRPr="00046433">
        <w:t>Conclusion</w:t>
      </w:r>
    </w:p>
    <w:p w:rsidR="00046433" w:rsidRDefault="00046433" w:rsidP="00416EF0">
      <w:pPr>
        <w:pStyle w:val="ListParagraph"/>
        <w:numPr>
          <w:ilvl w:val="0"/>
          <w:numId w:val="37"/>
        </w:numPr>
      </w:pPr>
      <w:r w:rsidRPr="00046433">
        <w:t>The great estates</w:t>
      </w:r>
      <w:r>
        <w:t xml:space="preserve"> funding has enabled the council to address long standing issues on our estates that have been a concern for members and residents.  We have developed our approach to this programme of work with Direct Services who are able to carry out the majority of the work.  </w:t>
      </w:r>
    </w:p>
    <w:p w:rsidR="00046433" w:rsidRDefault="00046433" w:rsidP="00416EF0">
      <w:pPr>
        <w:pStyle w:val="ListParagraph"/>
        <w:numPr>
          <w:ilvl w:val="0"/>
          <w:numId w:val="37"/>
        </w:numPr>
      </w:pPr>
      <w:r>
        <w:t xml:space="preserve">Feedback from residents where work has been completed is very positive </w:t>
      </w:r>
      <w:r w:rsidR="00F77CEA">
        <w:t>and early consultation with them</w:t>
      </w:r>
      <w:r>
        <w:t xml:space="preserve"> ensures we address their concerns directly</w:t>
      </w:r>
      <w:r w:rsidR="00F77CEA">
        <w:t>,</w:t>
      </w:r>
      <w:r>
        <w:t xml:space="preserve"> leading to more effective solutions to some of the problems experienced on the estates.</w:t>
      </w:r>
    </w:p>
    <w:p w:rsidR="00046433" w:rsidRDefault="00046433" w:rsidP="00416EF0">
      <w:pPr>
        <w:pStyle w:val="ListParagraph"/>
        <w:numPr>
          <w:ilvl w:val="0"/>
          <w:numId w:val="37"/>
        </w:numPr>
      </w:pPr>
      <w:r>
        <w:t>Because there is identified funding for the next four years we are able to plan larger schemes of works and prioritise these going forward.  The initial work on Blackbird Leys outlined above is an example of this.</w:t>
      </w:r>
    </w:p>
    <w:p w:rsidR="00E206D6" w:rsidRPr="001356F1" w:rsidRDefault="00046433" w:rsidP="00416EF0">
      <w:pPr>
        <w:pStyle w:val="ListParagraph"/>
        <w:numPr>
          <w:ilvl w:val="0"/>
          <w:numId w:val="37"/>
        </w:numPr>
      </w:pPr>
      <w:r>
        <w:t>We have developed a “one council” approach to this project involving a number of different departments within the council to deliver the programme of work and project teams have been set up where appropriate to co-ordinate and deliver the work</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F6C06" w:rsidP="00A46E98">
            <w:r>
              <w:t>Martin Shaw</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F6C06" w:rsidP="00A46E98">
            <w:r>
              <w:t>Property Services</w:t>
            </w:r>
            <w:r w:rsidR="008B0298">
              <w:t xml:space="preserv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B0298" w:rsidP="00A46E98">
            <w:r>
              <w:t>Housing &amp;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F6C06">
            <w:r w:rsidRPr="001356F1">
              <w:t xml:space="preserve">01865 </w:t>
            </w:r>
            <w:r w:rsidR="008B0298">
              <w:t>252</w:t>
            </w:r>
            <w:r w:rsidR="006F6C06">
              <w:t>544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F6C06" w:rsidP="00A46E98">
            <w:pPr>
              <w:rPr>
                <w:rStyle w:val="Hyperlink"/>
                <w:color w:val="000000"/>
              </w:rPr>
            </w:pPr>
            <w:r>
              <w:rPr>
                <w:rStyle w:val="Hyperlink"/>
                <w:color w:val="000000"/>
              </w:rPr>
              <w:t>mshaw2</w:t>
            </w:r>
            <w:r w:rsidR="008B0298">
              <w:rPr>
                <w:rStyle w:val="Hyperlink"/>
                <w:color w:val="000000"/>
              </w:rPr>
              <w:t>@oxford.gov.uk</w:t>
            </w:r>
          </w:p>
        </w:tc>
      </w:tr>
    </w:tbl>
    <w:p w:rsidR="00433B96" w:rsidRPr="001356F1" w:rsidRDefault="00433B96" w:rsidP="004A6D2F"/>
    <w:p w:rsidR="00A4626B" w:rsidRDefault="00A4626B" w:rsidP="0093067A"/>
    <w:sectPr w:rsidR="00A4626B" w:rsidSect="006F6C06">
      <w:footerReference w:type="even" r:id="rId9"/>
      <w:headerReference w:type="first" r:id="rId10"/>
      <w:footerReference w:type="first" r:id="rId11"/>
      <w:pgSz w:w="11906" w:h="16838" w:code="9"/>
      <w:pgMar w:top="1134"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6D" w:rsidRDefault="009C4D6D" w:rsidP="004A6D2F">
      <w:r>
        <w:separator/>
      </w:r>
    </w:p>
  </w:endnote>
  <w:endnote w:type="continuationSeparator" w:id="0">
    <w:p w:rsidR="009C4D6D" w:rsidRDefault="009C4D6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Do not use a footer or page numbers.</w:t>
    </w:r>
  </w:p>
  <w:p w:rsidR="007E6199" w:rsidRDefault="007E6199" w:rsidP="004A6D2F">
    <w:pPr>
      <w:pStyle w:val="Footer"/>
    </w:pPr>
  </w:p>
  <w:p w:rsidR="007E6199" w:rsidRDefault="007E619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6D" w:rsidRDefault="009C4D6D" w:rsidP="004A6D2F">
      <w:r>
        <w:separator/>
      </w:r>
    </w:p>
  </w:footnote>
  <w:footnote w:type="continuationSeparator" w:id="0">
    <w:p w:rsidR="009C4D6D" w:rsidRDefault="009C4D6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D5547E">
    <w:pPr>
      <w:pStyle w:val="Header"/>
      <w:jc w:val="right"/>
    </w:pPr>
    <w:r>
      <w:rPr>
        <w:noProof/>
      </w:rPr>
      <w:drawing>
        <wp:inline distT="0" distB="0" distL="0" distR="0" wp14:anchorId="2C70EC74" wp14:editId="032BF33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856231"/>
    <w:multiLevelType w:val="hybridMultilevel"/>
    <w:tmpl w:val="5670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A95860"/>
    <w:multiLevelType w:val="hybridMultilevel"/>
    <w:tmpl w:val="91DAF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2AF4C5C"/>
    <w:multiLevelType w:val="hybridMultilevel"/>
    <w:tmpl w:val="4B34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3E2D9D"/>
    <w:multiLevelType w:val="hybridMultilevel"/>
    <w:tmpl w:val="11043EF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DC6751"/>
    <w:multiLevelType w:val="hybridMultilevel"/>
    <w:tmpl w:val="C85AC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7C31A0"/>
    <w:multiLevelType w:val="hybridMultilevel"/>
    <w:tmpl w:val="1CDC8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F11492"/>
    <w:multiLevelType w:val="hybridMultilevel"/>
    <w:tmpl w:val="BE044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5D977B6"/>
    <w:multiLevelType w:val="hybridMultilevel"/>
    <w:tmpl w:val="B1CE9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AF7C3A"/>
    <w:multiLevelType w:val="hybridMultilevel"/>
    <w:tmpl w:val="1230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771464"/>
    <w:multiLevelType w:val="hybridMultilevel"/>
    <w:tmpl w:val="E9A4C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2ED452D"/>
    <w:multiLevelType w:val="hybridMultilevel"/>
    <w:tmpl w:val="264A6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75A0559"/>
    <w:multiLevelType w:val="hybridMultilevel"/>
    <w:tmpl w:val="BA2EE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E67CE66C"/>
    <w:numStyleLink w:val="StyleNumberedLeft0cmHanging075cm"/>
  </w:abstractNum>
  <w:num w:numId="1">
    <w:abstractNumId w:val="32"/>
  </w:num>
  <w:num w:numId="2">
    <w:abstractNumId w:val="39"/>
  </w:num>
  <w:num w:numId="3">
    <w:abstractNumId w:val="27"/>
  </w:num>
  <w:num w:numId="4">
    <w:abstractNumId w:val="21"/>
  </w:num>
  <w:num w:numId="5">
    <w:abstractNumId w:val="34"/>
  </w:num>
  <w:num w:numId="6">
    <w:abstractNumId w:val="41"/>
  </w:num>
  <w:num w:numId="7">
    <w:abstractNumId w:val="26"/>
  </w:num>
  <w:num w:numId="8">
    <w:abstractNumId w:val="23"/>
  </w:num>
  <w:num w:numId="9">
    <w:abstractNumId w:val="14"/>
  </w:num>
  <w:num w:numId="10">
    <w:abstractNumId w:val="16"/>
  </w:num>
  <w:num w:numId="11">
    <w:abstractNumId w:val="30"/>
  </w:num>
  <w:num w:numId="12">
    <w:abstractNumId w:val="28"/>
  </w:num>
  <w:num w:numId="13">
    <w:abstractNumId w:val="10"/>
  </w:num>
  <w:num w:numId="14">
    <w:abstractNumId w:val="44"/>
  </w:num>
  <w:num w:numId="15">
    <w:abstractNumId w:val="18"/>
  </w:num>
  <w:num w:numId="16">
    <w:abstractNumId w:val="11"/>
  </w:num>
  <w:num w:numId="17">
    <w:abstractNumId w:val="33"/>
  </w:num>
  <w:num w:numId="18">
    <w:abstractNumId w:val="12"/>
  </w:num>
  <w:num w:numId="19">
    <w:abstractNumId w:val="35"/>
  </w:num>
  <w:num w:numId="20">
    <w:abstractNumId w:val="19"/>
  </w:num>
  <w:num w:numId="21">
    <w:abstractNumId w:val="25"/>
  </w:num>
  <w:num w:numId="22">
    <w:abstractNumId w:val="15"/>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3"/>
  </w:num>
  <w:num w:numId="36">
    <w:abstractNumId w:val="31"/>
  </w:num>
  <w:num w:numId="37">
    <w:abstractNumId w:val="17"/>
  </w:num>
  <w:num w:numId="38">
    <w:abstractNumId w:val="36"/>
  </w:num>
  <w:num w:numId="39">
    <w:abstractNumId w:val="38"/>
  </w:num>
  <w:num w:numId="40">
    <w:abstractNumId w:val="24"/>
  </w:num>
  <w:num w:numId="41">
    <w:abstractNumId w:val="40"/>
  </w:num>
  <w:num w:numId="42">
    <w:abstractNumId w:val="22"/>
  </w:num>
  <w:num w:numId="43">
    <w:abstractNumId w:val="29"/>
  </w:num>
  <w:num w:numId="44">
    <w:abstractNumId w:val="42"/>
  </w:num>
  <w:num w:numId="45">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433"/>
    <w:rsid w:val="00046D2B"/>
    <w:rsid w:val="00056263"/>
    <w:rsid w:val="0006471D"/>
    <w:rsid w:val="00064D8A"/>
    <w:rsid w:val="00064F82"/>
    <w:rsid w:val="00066510"/>
    <w:rsid w:val="00070DE8"/>
    <w:rsid w:val="00077523"/>
    <w:rsid w:val="000C089F"/>
    <w:rsid w:val="000C3928"/>
    <w:rsid w:val="000C5E8E"/>
    <w:rsid w:val="000E3DFC"/>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F7900"/>
    <w:rsid w:val="002069B3"/>
    <w:rsid w:val="00226073"/>
    <w:rsid w:val="002329CF"/>
    <w:rsid w:val="00232F5B"/>
    <w:rsid w:val="002363F0"/>
    <w:rsid w:val="00247C29"/>
    <w:rsid w:val="00260467"/>
    <w:rsid w:val="00263EA3"/>
    <w:rsid w:val="002820E0"/>
    <w:rsid w:val="00284F85"/>
    <w:rsid w:val="00290915"/>
    <w:rsid w:val="002942C3"/>
    <w:rsid w:val="002A22E2"/>
    <w:rsid w:val="002B3A5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53E3"/>
    <w:rsid w:val="0040736F"/>
    <w:rsid w:val="00412C1F"/>
    <w:rsid w:val="00416EF0"/>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05F57"/>
    <w:rsid w:val="0054712D"/>
    <w:rsid w:val="00547EF6"/>
    <w:rsid w:val="005570B5"/>
    <w:rsid w:val="005573DA"/>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4CCC"/>
    <w:rsid w:val="00650811"/>
    <w:rsid w:val="00661D3E"/>
    <w:rsid w:val="00670845"/>
    <w:rsid w:val="00673380"/>
    <w:rsid w:val="0068146F"/>
    <w:rsid w:val="00692627"/>
    <w:rsid w:val="006969E7"/>
    <w:rsid w:val="006A1208"/>
    <w:rsid w:val="006A3643"/>
    <w:rsid w:val="006B0399"/>
    <w:rsid w:val="006B3551"/>
    <w:rsid w:val="006C2A29"/>
    <w:rsid w:val="006C64CF"/>
    <w:rsid w:val="006D17B1"/>
    <w:rsid w:val="006D4752"/>
    <w:rsid w:val="006D708A"/>
    <w:rsid w:val="006D7DAB"/>
    <w:rsid w:val="006E14C1"/>
    <w:rsid w:val="006F0292"/>
    <w:rsid w:val="006F27FA"/>
    <w:rsid w:val="006F416B"/>
    <w:rsid w:val="006F4442"/>
    <w:rsid w:val="006F519B"/>
    <w:rsid w:val="006F6C06"/>
    <w:rsid w:val="00701603"/>
    <w:rsid w:val="00713675"/>
    <w:rsid w:val="00715823"/>
    <w:rsid w:val="0073164B"/>
    <w:rsid w:val="00736B02"/>
    <w:rsid w:val="00737B93"/>
    <w:rsid w:val="00745BF0"/>
    <w:rsid w:val="007615FE"/>
    <w:rsid w:val="0076655C"/>
    <w:rsid w:val="007742DC"/>
    <w:rsid w:val="00791437"/>
    <w:rsid w:val="007A09D6"/>
    <w:rsid w:val="007A6122"/>
    <w:rsid w:val="007B0C2C"/>
    <w:rsid w:val="007B278E"/>
    <w:rsid w:val="007C5C23"/>
    <w:rsid w:val="007C6FCE"/>
    <w:rsid w:val="007E2A26"/>
    <w:rsid w:val="007E6199"/>
    <w:rsid w:val="007F2348"/>
    <w:rsid w:val="00803F07"/>
    <w:rsid w:val="0080749A"/>
    <w:rsid w:val="00821FB8"/>
    <w:rsid w:val="00822ACD"/>
    <w:rsid w:val="00855C66"/>
    <w:rsid w:val="00871EE4"/>
    <w:rsid w:val="008A144A"/>
    <w:rsid w:val="008A43AA"/>
    <w:rsid w:val="008B0298"/>
    <w:rsid w:val="008B293F"/>
    <w:rsid w:val="008B7371"/>
    <w:rsid w:val="008D1295"/>
    <w:rsid w:val="008D3DDB"/>
    <w:rsid w:val="008F573F"/>
    <w:rsid w:val="009034EC"/>
    <w:rsid w:val="0093067A"/>
    <w:rsid w:val="00941C60"/>
    <w:rsid w:val="00941FD1"/>
    <w:rsid w:val="00966D42"/>
    <w:rsid w:val="00971689"/>
    <w:rsid w:val="00973E90"/>
    <w:rsid w:val="00975B07"/>
    <w:rsid w:val="00980B4A"/>
    <w:rsid w:val="009C4D6D"/>
    <w:rsid w:val="009E3D0A"/>
    <w:rsid w:val="009E51FC"/>
    <w:rsid w:val="009F1D28"/>
    <w:rsid w:val="009F7618"/>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D76C4"/>
    <w:rsid w:val="00AE7AF0"/>
    <w:rsid w:val="00B500CA"/>
    <w:rsid w:val="00B760F3"/>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4BAE"/>
    <w:rsid w:val="00C46CF2"/>
    <w:rsid w:val="00C63C31"/>
    <w:rsid w:val="00C757A0"/>
    <w:rsid w:val="00C760DE"/>
    <w:rsid w:val="00C82630"/>
    <w:rsid w:val="00C85B4E"/>
    <w:rsid w:val="00C907F7"/>
    <w:rsid w:val="00CA2103"/>
    <w:rsid w:val="00CB0081"/>
    <w:rsid w:val="00CB6B99"/>
    <w:rsid w:val="00CE4B52"/>
    <w:rsid w:val="00CE4C87"/>
    <w:rsid w:val="00CE544A"/>
    <w:rsid w:val="00CF34CD"/>
    <w:rsid w:val="00D11E1C"/>
    <w:rsid w:val="00D160B0"/>
    <w:rsid w:val="00D17F94"/>
    <w:rsid w:val="00D223FC"/>
    <w:rsid w:val="00D26D1E"/>
    <w:rsid w:val="00D474CF"/>
    <w:rsid w:val="00D5547E"/>
    <w:rsid w:val="00D57A71"/>
    <w:rsid w:val="00D57F03"/>
    <w:rsid w:val="00D869A1"/>
    <w:rsid w:val="00DA413F"/>
    <w:rsid w:val="00DA4584"/>
    <w:rsid w:val="00DA614B"/>
    <w:rsid w:val="00DC3060"/>
    <w:rsid w:val="00DE0FB2"/>
    <w:rsid w:val="00DF093E"/>
    <w:rsid w:val="00DF3DC5"/>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6150"/>
    <w:rsid w:val="00F05ECA"/>
    <w:rsid w:val="00F07428"/>
    <w:rsid w:val="00F3566E"/>
    <w:rsid w:val="00F375FB"/>
    <w:rsid w:val="00F41AC1"/>
    <w:rsid w:val="00F4367A"/>
    <w:rsid w:val="00F445B1"/>
    <w:rsid w:val="00F44C2D"/>
    <w:rsid w:val="00F45CD4"/>
    <w:rsid w:val="00F66DCA"/>
    <w:rsid w:val="00F74F53"/>
    <w:rsid w:val="00F7606D"/>
    <w:rsid w:val="00F77127"/>
    <w:rsid w:val="00F77CEA"/>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AD76C4"/>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76C4"/>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7A7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AD76C4"/>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76C4"/>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7A7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9338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9C65-B7CC-440B-9EAB-55EB6FC0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192</TotalTime>
  <Pages>4</Pages>
  <Words>1088</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abrown2</cp:lastModifiedBy>
  <cp:revision>12</cp:revision>
  <cp:lastPrinted>2015-07-03T13:50:00Z</cp:lastPrinted>
  <dcterms:created xsi:type="dcterms:W3CDTF">2017-04-12T07:27:00Z</dcterms:created>
  <dcterms:modified xsi:type="dcterms:W3CDTF">2017-04-13T09:33:00Z</dcterms:modified>
</cp:coreProperties>
</file>